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200"/>
      </w:pPr>
      <w:r>
        <w:rPr/>
        <w:t xml:space="preserve"/>
      </w:r>
    </w:p>
    <w:p>
      <w:pPr>
        <w:jc w:val="center"/>
        <w:spacing w:after="100"/>
      </w:pPr>
      <w:r>
        <w:rPr>
          <w:color w:val="34495E"/>
          <w:sz w:val="88"/>
          <w:szCs w:val="88"/>
          <w:b w:val="1"/>
          <w:bCs w:val="1"/>
        </w:rPr>
        <w:t xml:space="preserve">DECA ERP</w:t>
      </w:r>
    </w:p>
    <w:p>
      <w:pPr>
        <w:jc w:val="center"/>
        <w:spacing w:after="300"/>
      </w:pPr>
      <w:r>
        <w:rPr>
          <w:color w:val="E67E22"/>
          <w:sz w:val="44"/>
          <w:szCs w:val="44"/>
          <w:b w:val="1"/>
          <w:bCs w:val="1"/>
        </w:rPr>
        <w:t xml:space="preserve">Manual de uso</w:t>
      </w:r>
    </w:p>
    <w:p>
      <w:pPr>
        <w:jc w:val="center"/>
        <w:spacing w:after="80"/>
      </w:pPr>
      <w:r>
        <w:rPr>
          <w:color w:val="5B6773"/>
          <w:sz w:val="26"/>
          <w:szCs w:val="26"/>
        </w:rPr>
        <w:t xml:space="preserve">Documento electrónico de Control Administrativo (DeCA)</w:t>
      </w:r>
    </w:p>
    <w:p>
      <w:pPr>
        <w:jc w:val="center"/>
        <w:spacing w:after="2600"/>
      </w:pPr>
      <w:r>
        <w:rPr>
          <w:color w:val="5B6773"/>
          <w:sz w:val="22"/>
          <w:szCs w:val="22"/>
        </w:rPr>
        <w:t xml:space="preserve">Orden FOM/2861/2012 · Resolución de 5 de junio de 2026</w:t>
      </w:r>
    </w:p>
    <w:p>
      <w:pPr>
        <w:jc w:val="center"/>
        <w:spacing w:after="60"/>
      </w:pPr>
      <w:r>
        <w:rPr>
          <w:color w:val="34495E"/>
          <w:sz w:val="26"/>
          <w:szCs w:val="26"/>
          <w:b w:val="1"/>
          <w:bCs w:val="1"/>
        </w:rPr>
        <w:t xml:space="preserve">https://decaerp.com</w:t>
      </w:r>
    </w:p>
    <w:p>
      <w:pPr>
        <w:jc w:val="center"/>
      </w:pPr>
      <w:r>
        <w:rPr>
          <w:color w:val="5B6773"/>
          <w:sz w:val="20"/>
          <w:szCs w:val="20"/>
        </w:rPr>
        <w:t xml:space="preserve">Versión 1.5 · Septiembre 2026 · Soporte: soporte@decaerp.com</w:t>
      </w:r>
    </w:p>
    <w:p>
      <w:pPr>
        <w:sectPr>
          <w:pgSz w:orient="portrait" w:w="11906" w:h="16838"/>
          <w:pgMar w:top="1300" w:right="1300" w:bottom="1200" w:left="1300" w:header="720" w:footer="720" w:gutter="0"/>
          <w:cols w:num="1" w:space="720"/>
        </w:sectPr>
      </w:pPr>
    </w:p>
    <w:p>
      <w:pPr>
        <w:spacing w:after="160"/>
      </w:pPr>
      <w:r>
        <w:rPr>
          <w:color w:val="34495E"/>
          <w:sz w:val="32"/>
          <w:szCs w:val="32"/>
          <w:b w:val="1"/>
          <w:bCs w:val="1"/>
        </w:rPr>
        <w:t xml:space="preserve">Índice</w:t>
      </w:r>
    </w:p>
    <w:p>
      <w:pPr>
        <w:spacing w:after="75"/>
      </w:pPr>
      <w:r>
        <w:rPr>
          <w:color w:val="34495E"/>
          <w:sz w:val="21"/>
          <w:szCs w:val="21"/>
          <w:b w:val="1"/>
          <w:bCs w:val="1"/>
        </w:rPr>
        <w:t xml:space="preserve">1. Qué es el DeCA y para qué sirve la aplicación</w:t>
      </w:r>
    </w:p>
    <w:p>
      <w:pPr>
        <w:spacing w:after="75"/>
      </w:pPr>
      <w:r>
        <w:rPr>
          <w:color w:val="34495E"/>
          <w:sz w:val="21"/>
          <w:szCs w:val="21"/>
          <w:b w:val="1"/>
          <w:bCs w:val="1"/>
        </w:rPr>
        <w:t xml:space="preserve">2. Acceso a la aplicación</w:t>
      </w:r>
      <w:r>
        <w:rPr>
          <w:color w:val="5B6773"/>
          <w:sz w:val="19"/>
          <w:szCs w:val="19"/>
        </w:rPr>
        <w:t xml:space="preserve">  ·  Administrador y usuarios</w:t>
      </w:r>
    </w:p>
    <w:p>
      <w:pPr>
        <w:spacing w:after="75"/>
      </w:pPr>
      <w:r>
        <w:rPr>
          <w:color w:val="34495E"/>
          <w:sz w:val="21"/>
          <w:szCs w:val="21"/>
          <w:b w:val="1"/>
          <w:bCs w:val="1"/>
        </w:rPr>
        <w:t xml:space="preserve">3. La pantalla principal: el listado de viajes</w:t>
      </w:r>
      <w:r>
        <w:rPr>
          <w:color w:val="5B6773"/>
          <w:sz w:val="19"/>
          <w:szCs w:val="19"/>
        </w:rPr>
        <w:t xml:space="preserve">  ·  Filtros, buscador, exportación y vista móvil</w:t>
      </w:r>
    </w:p>
    <w:p>
      <w:pPr>
        <w:spacing w:after="75"/>
      </w:pPr>
      <w:r>
        <w:rPr>
          <w:color w:val="34495E"/>
          <w:sz w:val="21"/>
          <w:szCs w:val="21"/>
          <w:b w:val="1"/>
          <w:bCs w:val="1"/>
        </w:rPr>
        <w:t xml:space="preserve">4. Crear un DeCA</w:t>
      </w:r>
      <w:r>
        <w:rPr>
          <w:color w:val="5B6773"/>
          <w:sz w:val="19"/>
          <w:szCs w:val="19"/>
        </w:rPr>
        <w:t xml:space="preserve">  ·  Datos del viaje, repartos, gestión y versiones</w:t>
      </w:r>
    </w:p>
    <w:p>
      <w:pPr>
        <w:spacing w:after="75"/>
      </w:pPr>
      <w:r>
        <w:rPr>
          <w:color w:val="34495E"/>
          <w:sz w:val="21"/>
          <w:szCs w:val="21"/>
          <w:b w:val="1"/>
          <w:bCs w:val="1"/>
        </w:rPr>
        <w:t xml:space="preserve">5. Viajes futuros</w:t>
      </w:r>
      <w:r>
        <w:rPr>
          <w:color w:val="5B6773"/>
          <w:sz w:val="19"/>
          <w:szCs w:val="19"/>
        </w:rPr>
        <w:t xml:space="preserve">  ·  Planificación sin fecha</w:t>
      </w:r>
    </w:p>
    <w:p>
      <w:pPr>
        <w:spacing w:after="75"/>
      </w:pPr>
      <w:r>
        <w:rPr>
          <w:color w:val="34495E"/>
          <w:sz w:val="21"/>
          <w:szCs w:val="21"/>
          <w:b w:val="1"/>
          <w:bCs w:val="1"/>
        </w:rPr>
        <w:t xml:space="preserve">6. Enviar el DeCA al conductor</w:t>
      </w:r>
      <w:r>
        <w:rPr>
          <w:color w:val="5B6773"/>
          <w:sz w:val="19"/>
          <w:szCs w:val="19"/>
        </w:rPr>
        <w:t xml:space="preserve">  ·  PDF, QR, URL y WhatsApp</w:t>
      </w:r>
    </w:p>
    <w:p>
      <w:pPr>
        <w:spacing w:after="75"/>
      </w:pPr>
      <w:r>
        <w:rPr>
          <w:color w:val="34495E"/>
          <w:sz w:val="21"/>
          <w:szCs w:val="21"/>
          <w:b w:val="1"/>
          <w:bCs w:val="1"/>
        </w:rPr>
        <w:t xml:space="preserve">7. Menú Más</w:t>
      </w:r>
      <w:r>
        <w:rPr>
          <w:color w:val="5B6773"/>
          <w:sz w:val="19"/>
          <w:szCs w:val="19"/>
        </w:rPr>
        <w:t xml:space="preserve">  ·  Clientes, lugares habituales, importación, conductores, usuarios y estadísticas</w:t>
      </w:r>
    </w:p>
    <w:p>
      <w:pPr>
        <w:spacing w:after="75"/>
      </w:pPr>
      <w:r>
        <w:rPr>
          <w:color w:val="34495E"/>
          <w:sz w:val="21"/>
          <w:szCs w:val="21"/>
          <w:b w:val="1"/>
          <w:bCs w:val="1"/>
        </w:rPr>
        <w:t xml:space="preserve">8. Conexión por API REST</w:t>
      </w:r>
      <w:r>
        <w:rPr>
          <w:color w:val="5B6773"/>
          <w:sz w:val="19"/>
          <w:szCs w:val="19"/>
        </w:rPr>
        <w:t xml:space="preserve">  ·  ERP, alta incompleta, enlace del transportista, estados, PDF, repartos y errores</w:t>
      </w:r>
    </w:p>
    <w:p>
      <w:pPr>
        <w:spacing w:after="75"/>
      </w:pPr>
      <w:r>
        <w:rPr>
          <w:color w:val="34495E"/>
          <w:sz w:val="21"/>
          <w:szCs w:val="21"/>
          <w:b w:val="1"/>
          <w:bCs w:val="1"/>
        </w:rPr>
        <w:t xml:space="preserve">9. Preguntas frecuentes</w:t>
      </w:r>
    </w:p>
    <w:p>
      <w:pPr>
        <w:spacing w:after="75"/>
      </w:pPr>
      <w:r>
        <w:rPr>
          <w:color w:val="34495E"/>
          <w:sz w:val="21"/>
          <w:szCs w:val="21"/>
          <w:b w:val="1"/>
          <w:bCs w:val="1"/>
        </w:rPr>
        <w:t xml:space="preserve">10. Soporte y condiciones</w:t>
      </w:r>
    </w:p>
    <w:p>
      <w:r>
        <w:br w:type="page"/>
      </w:r>
    </w:p>
    <w:p>
      <w:pPr>
        <w:pStyle w:val="Heading1"/>
      </w:pPr>
      <w:bookmarkStart w:id="0" w:name="_Toc0"/>
      <w:r>
        <w:t>1. Qué es el DeCA y para qué sirve la aplicación</w:t>
      </w:r>
      <w:bookmarkEnd w:id="0"/>
    </w:p>
    <w:p>
      <w:pPr>
        <w:pStyle w:val="P"/>
      </w:pPr>
      <w:r>
        <w:rPr/>
        <w:t xml:space="preserve">El DeCA (Documento electrónico de Control Administrativo) es el documento que debe acompañar a todo transporte nacional de mercancías por carretera. Está regulado por la Orden FOM/2861/2012 y por la Resolución de 5 de junio de 2026 (BOE 12/6/2026), y es obligatorio en formato electrónico desde el 5 de octubre de 2026, sin prórrogas.</w:t>
      </w:r>
    </w:p>
    <w:p>
      <w:pPr>
        <w:pStyle w:val="P"/>
      </w:pPr>
      <w:r>
        <w:rPr/>
        <w:t xml:space="preserve">DECA ERP genera ese documento en segundos: usted rellena los datos del viaje y la aplicación crea automáticamente el PDF oficial con su código QR y una dirección de descarga única (URL) que puede enviar al conductor. En un control de carretera basta con mostrar el PDF en el móvil o dejar que el agente escanee el QR.</w:t>
      </w:r>
    </w:p>
    <w:p>
      <w:pPr>
        <w:pStyle w:val="P"/>
        <w:numPr>
          <w:ilvl w:val="0"/>
          <w:numId w:val="6"/>
        </w:numPr>
      </w:pPr>
      <w:r>
        <w:rPr/>
        <w:t xml:space="preserve">No hay que instalar nada: funciona en el navegador del ordenador, la tablet y el móvil.</w:t>
      </w:r>
    </w:p>
    <w:p>
      <w:pPr>
        <w:pStyle w:val="P"/>
        <w:numPr>
          <w:ilvl w:val="0"/>
          <w:numId w:val="6"/>
        </w:numPr>
      </w:pPr>
      <w:r>
        <w:rPr/>
        <w:t xml:space="preserve">No hay que enviar nada al Ministerio ni certificar la aplicación.</w:t>
      </w:r>
    </w:p>
    <w:p>
      <w:pPr>
        <w:pStyle w:val="P"/>
        <w:numPr>
          <w:ilvl w:val="0"/>
          <w:numId w:val="6"/>
        </w:numPr>
      </w:pPr>
      <w:r>
        <w:rPr/>
        <w:t xml:space="preserve">Los documentos quedan guardados y descargables durante el plazo legal de conservación (1 año).</w:t>
      </w:r>
    </w:p>
    <w:p>
      <w:pPr>
        <w:pStyle w:val="Heading1"/>
      </w:pPr>
      <w:bookmarkStart w:id="1" w:name="_Toc1"/>
      <w:r>
        <w:t>2. Acceso a la aplicación</w:t>
      </w:r>
      <w:bookmarkEnd w:id="1"/>
    </w:p>
    <w:p>
      <w:pPr>
        <w:pStyle w:val="P"/>
      </w:pPr>
      <w:r>
        <w:rPr/>
        <w:t xml:space="preserve">Entre en https://decaerp.com y pulse "Acceder". El acceso tiene tres campos:</w:t>
      </w:r>
    </w:p>
    <w:tbl>
      <w:tblGrid>
        <w:gridCol w:w="2300" w:type="dxa"/>
        <w:gridCol w:w="6900" w:type="dxa"/>
      </w:tblGrid>
      <w:tblPr>
        <w:tblStyle w:val="T"/>
      </w:tblPr>
      <w:tr>
        <w:trPr>
          <w:tblHeader w:val="1"/>
          <w:cantSplit w:val="1"/>
        </w:trPr>
        <w:tc>
          <w:tcPr>
            <w:tcW w:w="2300" w:type="dxa"/>
            <w:shd w:val="clear" w:fill="EEF2F7"/>
            <w:noWrap/>
          </w:tcPr>
          <w:p>
            <w:pPr/>
            <w:r>
              <w:rPr>
                <w:b w:val="1"/>
                <w:bCs w:val="1"/>
              </w:rPr>
              <w:t xml:space="preserve">Campo</w:t>
            </w:r>
          </w:p>
        </w:tc>
        <w:tc>
          <w:tcPr>
            <w:tcW w:w="6900" w:type="dxa"/>
            <w:shd w:val="clear" w:fill="EEF2F7"/>
            <w:noWrap/>
          </w:tcPr>
          <w:p>
            <w:pPr/>
            <w:r>
              <w:rPr>
                <w:b w:val="1"/>
                <w:bCs w:val="1"/>
              </w:rPr>
              <w:t xml:space="preserve">Qué escribir</w:t>
            </w:r>
          </w:p>
        </w:tc>
      </w:tr>
      <w:tr>
        <w:trPr/>
        <w:tc>
          <w:tcPr>
            <w:tcW w:w="2300" w:type="dxa"/>
            <w:noWrap/>
          </w:tcPr>
          <w:p>
            <w:pPr/>
            <w:r>
              <w:rPr>
                <w:b w:val="1"/>
                <w:bCs w:val="1"/>
              </w:rPr>
              <w:t xml:space="preserve">Empresa</w:t>
            </w:r>
          </w:p>
        </w:tc>
        <w:tc>
          <w:tcPr>
            <w:tcW w:w="6900" w:type="dxa"/>
            <w:noWrap/>
          </w:tcPr>
          <w:p>
            <w:pPr/>
            <w:r>
              <w:rPr/>
              <w:t xml:space="preserve">El nombre de su empresa, tal como se le facilitó en el alta.</w:t>
            </w:r>
          </w:p>
        </w:tc>
      </w:tr>
      <w:tr>
        <w:trPr/>
        <w:tc>
          <w:tcPr>
            <w:tcW w:w="2300" w:type="dxa"/>
            <w:noWrap/>
          </w:tcPr>
          <w:p>
            <w:pPr/>
            <w:r>
              <w:rPr>
                <w:b w:val="1"/>
                <w:bCs w:val="1"/>
              </w:rPr>
              <w:t xml:space="preserve">Usuario</w:t>
            </w:r>
          </w:p>
        </w:tc>
        <w:tc>
          <w:tcPr>
            <w:tcW w:w="6900" w:type="dxa"/>
            <w:noWrap/>
          </w:tcPr>
          <w:p>
            <w:pPr/>
            <w:r>
              <w:rPr/>
              <w:t xml:space="preserve">Su nombre de usuario. El ADMINISTRADOR escribe aquí el mismo nombre de la empresa.</w:t>
            </w:r>
          </w:p>
        </w:tc>
      </w:tr>
      <w:tr>
        <w:trPr/>
        <w:tc>
          <w:tcPr>
            <w:tcW w:w="2300" w:type="dxa"/>
            <w:noWrap/>
          </w:tcPr>
          <w:p>
            <w:pPr/>
            <w:r>
              <w:rPr>
                <w:b w:val="1"/>
                <w:bCs w:val="1"/>
              </w:rPr>
              <w:t xml:space="preserve">Clave</w:t>
            </w:r>
          </w:p>
        </w:tc>
        <w:tc>
          <w:tcPr>
            <w:tcW w:w="6900" w:type="dxa"/>
            <w:noWrap/>
          </w:tcPr>
          <w:p>
            <w:pPr/>
            <w:r>
              <w:rPr/>
              <w:t xml:space="preserve">Su clave personal.</w:t>
            </w:r>
          </w:p>
        </w:tc>
      </w:tr>
    </w:tbl>
    <w:p>
      <w:pPr>
        <w:spacing w:after="80"/>
      </w:pPr>
      <w:r>
        <w:rPr/>
        <w:t xml:space="preserve"/>
      </w:r>
    </w:p>
    <w:p>
      <w:pPr>
        <w:pStyle w:val="Heading2"/>
      </w:pPr>
      <w:bookmarkStart w:id="2" w:name="_Toc2"/>
      <w:r>
        <w:t>2.1. Administrador y usuarios</w:t>
      </w:r>
      <w:bookmarkEnd w:id="2"/>
    </w:p>
    <w:p>
      <w:pPr>
        <w:pStyle w:val="P"/>
      </w:pPr>
      <w:r>
        <w:rPr/>
        <w:t xml:space="preserve">Cada empresa tiene un administrador (usuario = nombre de la empresa) que ve todas las opciones, y puede crear usuarios adicionales para su personal. Los usuarios normales pueden crear y gestionar viajes, pero no acceden a la gestión de clientes, conductores, usuarios, estadísticas ni descarga masiva.</w:t>
      </w:r>
    </w:p>
    <w:p>
      <w:pPr>
        <w:pStyle w:val="P"/>
        <w:numPr>
          <w:ilvl w:val="0"/>
          <w:numId w:val="6"/>
        </w:numPr>
      </w:pPr>
      <w:r>
        <w:rPr/>
        <w:t xml:space="preserve">Cualquier persona puede cambiar su propia clave desde "Cambiar clave", en la barra superior.</w:t>
      </w:r>
    </w:p>
    <w:p>
      <w:pPr>
        <w:pStyle w:val="P"/>
        <w:numPr>
          <w:ilvl w:val="0"/>
          <w:numId w:val="6"/>
        </w:numPr>
      </w:pPr>
      <w:r>
        <w:rPr/>
        <w:t xml:space="preserve">Tras varios intentos de acceso fallidos, el sistema se bloquea 15 minutos por seguridad.</w:t>
      </w:r>
    </w:p>
    <w:p>
      <w:pPr>
        <w:pStyle w:val="Nota"/>
      </w:pPr>
      <w:r>
        <w:rPr>
          <w:color w:val="5B6773"/>
          <w:sz w:val="20"/>
          <w:szCs w:val="20"/>
          <w:i w:val="1"/>
          <w:iCs w:val="1"/>
        </w:rPr>
        <w:t xml:space="preserve">ℹ Para probar sin compromiso existe una empresa de demostración: escriba DEMO en los tres campos. Sus datos se eliminan periódicamente.</w:t>
      </w:r>
    </w:p>
    <w:p>
      <w:pPr>
        <w:pStyle w:val="Heading1"/>
      </w:pPr>
      <w:bookmarkStart w:id="3" w:name="_Toc3"/>
      <w:r>
        <w:t>3. La pantalla principal: el listado de viajes</w:t>
      </w:r>
      <w:bookmarkEnd w:id="3"/>
    </w:p>
    <w:p>
      <w:pPr>
        <w:pStyle w:val="P"/>
      </w:pPr>
      <w:r>
        <w:rPr/>
        <w:t xml:space="preserve">Al entrar verá los viajes "vivos" de su empresa: los que tienen fecha y no están terminados ni anulados. Desde cada viaje puede:</w:t>
      </w:r>
    </w:p>
    <w:p>
      <w:pPr>
        <w:pStyle w:val="P"/>
        <w:numPr>
          <w:ilvl w:val="0"/>
          <w:numId w:val="6"/>
        </w:numPr>
      </w:pPr>
      <w:r>
        <w:rPr/>
        <w:t xml:space="preserve">PDF: abrir el documento oficial.</w:t>
      </w:r>
    </w:p>
    <w:p>
      <w:pPr>
        <w:pStyle w:val="P"/>
        <w:numPr>
          <w:ilvl w:val="0"/>
          <w:numId w:val="6"/>
        </w:numPr>
      </w:pPr>
      <w:r>
        <w:rPr/>
        <w:t xml:space="preserve">Ver QR: mostrar el código QR en grande (por ejemplo, para que lo escaneen de su pantalla).</w:t>
      </w:r>
    </w:p>
    <w:p>
      <w:pPr>
        <w:pStyle w:val="P"/>
        <w:numPr>
          <w:ilvl w:val="0"/>
          <w:numId w:val="6"/>
        </w:numPr>
      </w:pPr>
      <w:r>
        <w:rPr/>
        <w:t xml:space="preserve">Copiar URL: copiar la dirección pública del documento para pegarla donde quiera.</w:t>
      </w:r>
    </w:p>
    <w:p>
      <w:pPr>
        <w:pStyle w:val="P"/>
        <w:numPr>
          <w:ilvl w:val="0"/>
          <w:numId w:val="6"/>
        </w:numPr>
      </w:pPr>
      <w:r>
        <w:rPr/>
        <w:t xml:space="preserve">WhatsApp: enviárselo a un conductor (véase el apartado 6).</w:t>
      </w:r>
    </w:p>
    <w:p>
      <w:pPr>
        <w:pStyle w:val="P"/>
        <w:numPr>
          <w:ilvl w:val="0"/>
          <w:numId w:val="6"/>
        </w:numPr>
      </w:pPr>
      <w:r>
        <w:rPr/>
        <w:t xml:space="preserve">Modificar: cambiar datos (se genera una versión nueva del PDF; la URL no cambia).</w:t>
      </w:r>
    </w:p>
    <w:p>
      <w:pPr>
        <w:pStyle w:val="P"/>
        <w:numPr>
          <w:ilvl w:val="0"/>
          <w:numId w:val="6"/>
        </w:numPr>
      </w:pPr>
      <w:r>
        <w:rPr/>
        <w:t xml:space="preserve">Duplicar: crear un viaje nuevo copiando todos los datos de otro (ideal para rutas repetidas).</w:t>
      </w:r>
    </w:p>
    <w:p>
      <w:pPr>
        <w:pStyle w:val="Heading2"/>
      </w:pPr>
      <w:bookmarkStart w:id="4" w:name="_Toc4"/>
      <w:r>
        <w:t>3.1. Filtros, buscador y exportación</w:t>
      </w:r>
      <w:bookmarkEnd w:id="4"/>
    </w:p>
    <w:p>
      <w:pPr>
        <w:pStyle w:val="P"/>
        <w:numPr>
          <w:ilvl w:val="0"/>
          <w:numId w:val="6"/>
        </w:numPr>
      </w:pPr>
      <w:r>
        <w:rPr/>
        <w:t xml:space="preserve">Pulse "FILTROS" para abrir la búsqueda, los estados y el intervalo de fechas.</w:t>
      </w:r>
    </w:p>
    <w:p>
      <w:pPr>
        <w:pStyle w:val="P"/>
        <w:numPr>
          <w:ilvl w:val="0"/>
          <w:numId w:val="6"/>
        </w:numPr>
      </w:pPr>
      <w:r>
        <w:rPr/>
        <w:t xml:space="preserve">Buscador: busca a la vez en cargador, transportista efectivo, NIF de ambos, origen, destino, mercancía, matrículas y nº de albarán.</w:t>
      </w:r>
    </w:p>
    <w:p>
      <w:pPr>
        <w:pStyle w:val="P"/>
        <w:numPr>
          <w:ilvl w:val="0"/>
          <w:numId w:val="6"/>
        </w:numPr>
      </w:pPr>
      <w:r>
        <w:rPr/>
        <w:t xml:space="preserve">Fecha: elija creación, modificación, registro o transporte; las fechas desde y hasta son opcionales.</w:t>
      </w:r>
    </w:p>
    <w:p>
      <w:pPr>
        <w:pStyle w:val="P"/>
        <w:numPr>
          <w:ilvl w:val="0"/>
          <w:numId w:val="6"/>
        </w:numPr>
      </w:pPr>
      <w:r>
        <w:rPr/>
        <w:t xml:space="preserve">Planificación: elija Todos, Con fecha programada o Sin fecha prevista. Los estados permiten incluir o limitar viajes terminados y anulados.</w:t>
      </w:r>
    </w:p>
    <w:p>
      <w:pPr>
        <w:pStyle w:val="P"/>
        <w:numPr>
          <w:ilvl w:val="0"/>
          <w:numId w:val="6"/>
        </w:numPr>
      </w:pPr>
      <w:r>
        <w:rPr/>
        <w:t xml:space="preserve">Ordenación: pulse el encabezado de una columna para ordenar en sentido ascendente o descendente.</w:t>
      </w:r>
    </w:p>
    <w:p>
      <w:pPr>
        <w:pStyle w:val="P"/>
        <w:numPr>
          <w:ilvl w:val="0"/>
          <w:numId w:val="6"/>
        </w:numPr>
      </w:pPr>
      <w:r>
        <w:rPr/>
        <w:t xml:space="preserve">Exportar CSV: descarga en Excel lo que esté viendo (respeta filtros y búsqueda).</w:t>
      </w:r>
    </w:p>
    <w:p>
      <w:pPr>
        <w:pStyle w:val="P"/>
        <w:numPr>
          <w:ilvl w:val="0"/>
          <w:numId w:val="6"/>
        </w:numPr>
      </w:pPr>
      <w:r>
        <w:rPr/>
        <w:t xml:space="preserve">El listado se pagina automáticamente de 25 en 25 viajes.</w:t>
      </w:r>
    </w:p>
    <w:p>
      <w:pPr>
        <w:pStyle w:val="Heading2"/>
      </w:pPr>
      <w:bookmarkStart w:id="5" w:name="_Toc5"/>
      <w:r>
        <w:t>3.2. Vista de tarjetas (móvil)</w:t>
      </w:r>
      <w:bookmarkEnd w:id="5"/>
    </w:p>
    <w:p>
      <w:pPr>
        <w:pStyle w:val="P"/>
      </w:pPr>
      <w:r>
        <w:rPr/>
        <w:t xml:space="preserve">El botón "Ver tarjetas" cambia a un formato de fichas con el QR visible, pensado para el móvil (en pantallas pequeñas se activa solo). "Ver lista" vuelve a la tabla clásica. La aplicación recuerda su preferencia.</w:t>
      </w:r>
    </w:p>
    <w:p>
      <w:pPr>
        <w:pStyle w:val="Heading1"/>
      </w:pPr>
      <w:bookmarkStart w:id="6" w:name="_Toc6"/>
      <w:r>
        <w:t>4. Crear un DeCA</w:t>
      </w:r>
      <w:bookmarkEnd w:id="6"/>
    </w:p>
    <w:p>
      <w:pPr>
        <w:pStyle w:val="P"/>
      </w:pPr>
      <w:r>
        <w:rPr/>
        <w:t xml:space="preserve">Pulse "+ Nuevo". El primer campo es la FECHA DEL VIAJE, y de ella depende todo:</w:t>
      </w:r>
    </w:p>
    <w:p>
      <w:pPr>
        <w:pStyle w:val="P"/>
        <w:numPr>
          <w:ilvl w:val="0"/>
          <w:numId w:val="6"/>
        </w:numPr>
      </w:pPr>
      <w:r>
        <w:rPr>
          <w:b w:val="1"/>
          <w:bCs w:val="1"/>
        </w:rPr>
        <w:t xml:space="preserve">CON fecha: es un documento oficial. Se exigen los datos del art. 6 y al guardar se genera el PDF con QR y URL.</w:t>
      </w:r>
    </w:p>
    <w:p>
      <w:pPr>
        <w:pStyle w:val="P"/>
        <w:numPr>
          <w:ilvl w:val="0"/>
          <w:numId w:val="6"/>
        </w:numPr>
      </w:pPr>
      <w:r>
        <w:rPr>
          <w:b w:val="1"/>
          <w:bCs w:val="1"/>
        </w:rPr>
        <w:t xml:space="preserve">SIN fecha: es un viaje futuro (borrador). No se exige ningún dato y NO se genera PDF hasta que le ponga fecha.</w:t>
      </w:r>
    </w:p>
    <w:p>
      <w:pPr>
        <w:pStyle w:val="Heading2"/>
      </w:pPr>
      <w:bookmarkStart w:id="7" w:name="_Toc7"/>
      <w:r>
        <w:t>4.1. Datos del viaje (art. 6 de la Orden FOM/2861/2012)</w:t>
      </w:r>
      <w:bookmarkEnd w:id="7"/>
    </w:p>
    <w:tbl>
      <w:tblGrid>
        <w:gridCol w:w="2900" w:type="dxa"/>
        <w:gridCol w:w="6300" w:type="dxa"/>
      </w:tblGrid>
      <w:tblPr>
        <w:tblStyle w:val="T"/>
      </w:tblPr>
      <w:tr>
        <w:trPr>
          <w:tblHeader w:val="1"/>
          <w:cantSplit w:val="1"/>
        </w:trPr>
        <w:tc>
          <w:tcPr>
            <w:tcW w:w="2900" w:type="dxa"/>
            <w:shd w:val="clear" w:fill="EEF2F7"/>
            <w:noWrap/>
          </w:tcPr>
          <w:p>
            <w:pPr/>
            <w:r>
              <w:rPr>
                <w:b w:val="1"/>
                <w:bCs w:val="1"/>
              </w:rPr>
              <w:t xml:space="preserve">Dato</w:t>
            </w:r>
          </w:p>
        </w:tc>
        <w:tc>
          <w:tcPr>
            <w:tcW w:w="6300" w:type="dxa"/>
            <w:shd w:val="clear" w:fill="EEF2F7"/>
            <w:noWrap/>
          </w:tcPr>
          <w:p>
            <w:pPr/>
            <w:r>
              <w:rPr>
                <w:b w:val="1"/>
                <w:bCs w:val="1"/>
              </w:rPr>
              <w:t xml:space="preserve">Detalle</w:t>
            </w:r>
          </w:p>
        </w:tc>
      </w:tr>
      <w:tr>
        <w:trPr/>
        <w:tc>
          <w:tcPr>
            <w:tcW w:w="2900" w:type="dxa"/>
            <w:noWrap/>
          </w:tcPr>
          <w:p>
            <w:pPr/>
            <w:r>
              <w:rPr>
                <w:b w:val="1"/>
                <w:bCs w:val="1"/>
              </w:rPr>
              <w:t xml:space="preserve">Cargador contractual</w:t>
            </w:r>
          </w:p>
        </w:tc>
        <w:tc>
          <w:tcPr>
            <w:tcW w:w="6300" w:type="dxa"/>
            <w:noWrap/>
          </w:tcPr>
          <w:p>
            <w:pPr/>
            <w:r>
              <w:rPr/>
              <w:t xml:space="preserve">Nombre o razón social, NIF y domicilio. Si elige un cliente del desplegable, se rellenan solos. El botón "Repetir último cargador" copia el del viaje anterior.</w:t>
            </w:r>
          </w:p>
        </w:tc>
      </w:tr>
      <w:tr>
        <w:trPr/>
        <w:tc>
          <w:tcPr>
            <w:tcW w:w="2900" w:type="dxa"/>
            <w:noWrap/>
          </w:tcPr>
          <w:p>
            <w:pPr/>
            <w:r>
              <w:rPr>
                <w:b w:val="1"/>
                <w:bCs w:val="1"/>
              </w:rPr>
              <w:t xml:space="preserve">Transportista efectivo</w:t>
            </w:r>
          </w:p>
        </w:tc>
        <w:tc>
          <w:tcPr>
            <w:tcW w:w="6300" w:type="dxa"/>
            <w:noWrap/>
          </w:tcPr>
          <w:p>
            <w:pPr/>
            <w:r>
              <w:rPr/>
              <w:t xml:space="preserve">Precargado con los datos de su empresa; editable.</w:t>
            </w:r>
          </w:p>
        </w:tc>
      </w:tr>
      <w:tr>
        <w:trPr/>
        <w:tc>
          <w:tcPr>
            <w:tcW w:w="2900" w:type="dxa"/>
            <w:noWrap/>
          </w:tcPr>
          <w:p>
            <w:pPr/>
            <w:r>
              <w:rPr>
                <w:b w:val="1"/>
                <w:bCs w:val="1"/>
              </w:rPr>
              <w:t xml:space="preserve">Origen y destino</w:t>
            </w:r>
          </w:p>
        </w:tc>
        <w:tc>
          <w:tcPr>
            <w:tcW w:w="6300" w:type="dxa"/>
            <w:noWrap/>
          </w:tcPr>
          <w:p>
            <w:pPr/>
            <w:r>
              <w:rPr/>
              <w:t xml:space="preserve">Lugares de origen y destino del envío.</w:t>
            </w:r>
          </w:p>
        </w:tc>
      </w:tr>
      <w:tr>
        <w:trPr/>
        <w:tc>
          <w:tcPr>
            <w:tcW w:w="2900" w:type="dxa"/>
            <w:noWrap/>
          </w:tcPr>
          <w:p>
            <w:pPr/>
            <w:r>
              <w:rPr>
                <w:b w:val="1"/>
                <w:bCs w:val="1"/>
              </w:rPr>
              <w:t xml:space="preserve">Naturaleza de la mercancía</w:t>
            </w:r>
          </w:p>
        </w:tc>
        <w:tc>
          <w:tcPr>
            <w:tcW w:w="6300" w:type="dxa"/>
            <w:noWrap/>
          </w:tcPr>
          <w:p>
            <w:pPr/>
            <w:r>
              <w:rPr/>
              <w:t xml:space="preserve">Descripción de lo que se transporta.</w:t>
            </w:r>
          </w:p>
        </w:tc>
      </w:tr>
      <w:tr>
        <w:trPr/>
        <w:tc>
          <w:tcPr>
            <w:tcW w:w="2900" w:type="dxa"/>
            <w:noWrap/>
          </w:tcPr>
          <w:p>
            <w:pPr/>
            <w:r>
              <w:rPr>
                <w:b w:val="1"/>
                <w:bCs w:val="1"/>
              </w:rPr>
              <w:t xml:space="preserve">Peso u otra magnitud</w:t>
            </w:r>
          </w:p>
        </w:tc>
        <w:tc>
          <w:tcPr>
            <w:tcW w:w="6300" w:type="dxa"/>
            <w:noWrap/>
          </w:tcPr>
          <w:p>
            <w:pPr/>
            <w:r>
              <w:rPr/>
              <w:t xml:space="preserve">Peso en kg, o si es difícil de precisar, otra magnitud (bultos, m³...). Al menos uno de los dos.</w:t>
            </w:r>
          </w:p>
        </w:tc>
      </w:tr>
      <w:tr>
        <w:trPr/>
        <w:tc>
          <w:tcPr>
            <w:tcW w:w="2900" w:type="dxa"/>
            <w:noWrap/>
          </w:tcPr>
          <w:p>
            <w:pPr/>
            <w:r>
              <w:rPr>
                <w:b w:val="1"/>
                <w:bCs w:val="1"/>
              </w:rPr>
              <w:t xml:space="preserve">Matrículas</w:t>
            </w:r>
          </w:p>
        </w:tc>
        <w:tc>
          <w:tcPr>
            <w:tcW w:w="6300" w:type="dxa"/>
            <w:noWrap/>
          </w:tcPr>
          <w:p>
            <w:pPr/>
            <w:r>
              <w:rPr/>
              <w:t xml:space="preserve">Tractora y remolque son opcionales y pueden completarse más adelante. Los campos autocompletan con las matrículas ya usadas.</w:t>
            </w:r>
          </w:p>
        </w:tc>
      </w:tr>
      <w:tr>
        <w:trPr/>
        <w:tc>
          <w:tcPr>
            <w:tcW w:w="2900" w:type="dxa"/>
            <w:noWrap/>
          </w:tcPr>
          <w:p>
            <w:pPr/>
            <w:r>
              <w:rPr>
                <w:b w:val="1"/>
                <w:bCs w:val="1"/>
              </w:rPr>
              <w:t xml:space="preserve">Observaciones</w:t>
            </w:r>
          </w:p>
        </w:tc>
        <w:tc>
          <w:tcPr>
            <w:tcW w:w="6300" w:type="dxa"/>
            <w:noWrap/>
          </w:tcPr>
          <w:p>
            <w:pPr/>
            <w:r>
              <w:rPr/>
              <w:t xml:space="preserve">Opcional.</w:t>
            </w:r>
          </w:p>
        </w:tc>
      </w:tr>
    </w:tbl>
    <w:p>
      <w:pPr>
        <w:spacing w:after="80"/>
      </w:pPr>
      <w:r>
        <w:rPr/>
        <w:t xml:space="preserve"/>
      </w:r>
    </w:p>
    <w:p>
      <w:pPr>
        <w:pStyle w:val="Heading2"/>
      </w:pPr>
      <w:bookmarkStart w:id="8" w:name="_Toc8"/>
      <w:r>
        <w:t>4.2. Repartos y rutas con varios puntos</w:t>
      </w:r>
      <w:bookmarkEnd w:id="8"/>
    </w:p>
    <w:p>
      <w:pPr>
        <w:pStyle w:val="P"/>
      </w:pPr>
      <w:r>
        <w:rPr/>
        <w:t xml:space="preserve">Un viaje normal contiene un único envío. Para una ruta de reparto, pulse "Añadir otro envío / punto de reparto". Cada envío tiene su propio origen, destino, referencia opcional y líneas de mercancía. El cargador contractual, el transportista efectivo, la fecha y el vehículo son comunes a todo el DeCA.</w:t>
      </w:r>
    </w:p>
    <w:p>
      <w:pPr>
        <w:pStyle w:val="Nota"/>
      </w:pPr>
      <w:r>
        <w:rPr>
          <w:color w:val="5B6773"/>
          <w:sz w:val="20"/>
          <w:szCs w:val="20"/>
          <w:i w:val="1"/>
          <w:iCs w:val="1"/>
        </w:rPr>
        <w:t xml:space="preserve">ℹ La numeración identifica cada envío dentro del documento; no pretende establecer por sí sola el orden real de ejecución de la ruta.</w:t>
      </w:r>
    </w:p>
    <w:p>
      <w:pPr>
        <w:pStyle w:val="Heading2"/>
      </w:pPr>
      <w:bookmarkStart w:id="9" w:name="_Toc9"/>
      <w:r>
        <w:t>4.3. Gestión del viaje</w:t>
      </w:r>
      <w:bookmarkEnd w:id="9"/>
    </w:p>
    <w:p>
      <w:pPr>
        <w:pStyle w:val="P"/>
        <w:numPr>
          <w:ilvl w:val="0"/>
          <w:numId w:val="6"/>
        </w:numPr>
      </w:pPr>
      <w:r>
        <w:rPr/>
        <w:t xml:space="preserve">Viaje terminado: márquelo al concluir; desaparece del listado por defecto.</w:t>
      </w:r>
    </w:p>
    <w:p>
      <w:pPr>
        <w:pStyle w:val="P"/>
        <w:numPr>
          <w:ilvl w:val="0"/>
          <w:numId w:val="6"/>
        </w:numPr>
      </w:pPr>
      <w:r>
        <w:rPr/>
        <w:t xml:space="preserve">Viaje anulado: para viajes que no se realizarán. No se borra nada: queda archivado.</w:t>
      </w:r>
    </w:p>
    <w:p>
      <w:pPr>
        <w:pStyle w:val="P"/>
        <w:numPr>
          <w:ilvl w:val="0"/>
          <w:numId w:val="6"/>
        </w:numPr>
      </w:pPr>
      <w:r>
        <w:rPr/>
        <w:t xml:space="preserve">Albaranado + nº de albarán: anote en qué albarán ha facturado el viaje.</w:t>
      </w:r>
    </w:p>
    <w:p>
      <w:pPr>
        <w:pStyle w:val="Heading2"/>
      </w:pPr>
      <w:bookmarkStart w:id="10" w:name="_Toc10"/>
      <w:r>
        <w:t>4.4. Modificaciones y versiones</w:t>
      </w:r>
      <w:bookmarkEnd w:id="10"/>
    </w:p>
    <w:p>
      <w:pPr>
        <w:pStyle w:val="P"/>
      </w:pPr>
      <w:r>
        <w:rPr/>
        <w:t xml:space="preserve">Cada vez que guarda una modificación se genera una versión nueva del PDF con su fecha y hora. Las versiones anteriores se conservan siempre (lo exige la norma) y la URL y el QR no cambian: quien abra el enlace recibe automáticamente la última versión.</w:t>
      </w:r>
    </w:p>
    <w:p>
      <w:pPr>
        <w:pStyle w:val="Heading1"/>
      </w:pPr>
      <w:bookmarkStart w:id="11" w:name="_Toc11"/>
      <w:r>
        <w:t>5. Viajes futuros (planificación)</w:t>
      </w:r>
      <w:bookmarkEnd w:id="11"/>
    </w:p>
    <w:p>
      <w:pPr>
        <w:pStyle w:val="P"/>
      </w:pPr>
      <w:r>
        <w:rPr/>
        <w:t xml:space="preserve">Puede registrar viajes con antelación sin conocer aún la fecha: déjela vacía y guarde. El viaje queda como no planificado (visible con el filtro "Sin fecha prevista") y todavía no tiene PDF. Cuando se confirme, entre en "Modificar", ponga la fecha y guarde: en ese momento se genera el documento oficial y su URL.</w:t>
      </w:r>
    </w:p>
    <w:p>
      <w:pPr>
        <w:pStyle w:val="Heading1"/>
      </w:pPr>
      <w:bookmarkStart w:id="12" w:name="_Toc12"/>
      <w:r>
        <w:t>6. Enviar el DeCA al conductor</w:t>
      </w:r>
      <w:bookmarkEnd w:id="12"/>
    </w:p>
    <w:p>
      <w:pPr>
        <w:pStyle w:val="P"/>
      </w:pPr>
      <w:r>
        <w:rPr/>
        <w:t xml:space="preserve">El conductor solo necesita la URL del documento (o el propio PDF). Tres formas:</w:t>
      </w:r>
    </w:p>
    <w:p>
      <w:pPr>
        <w:pStyle w:val="P"/>
        <w:numPr>
          <w:ilvl w:val="0"/>
          <w:numId w:val="6"/>
        </w:numPr>
      </w:pPr>
      <w:r>
        <w:rPr/>
        <w:t xml:space="preserve">WhatsApp: el botón verde prepara el mensaje con el enlace. Si ha dado de alta a sus conductores con su teléfono (menú Más → Conductores), se lo envía directo a su número, sin buscar el contacto.</w:t>
      </w:r>
    </w:p>
    <w:p>
      <w:pPr>
        <w:pStyle w:val="P"/>
        <w:numPr>
          <w:ilvl w:val="0"/>
          <w:numId w:val="6"/>
        </w:numPr>
      </w:pPr>
      <w:r>
        <w:rPr/>
        <w:t xml:space="preserve">Copiar URL: pegue el enlace en un correo, SMS o donde prefiera.</w:t>
      </w:r>
    </w:p>
    <w:p>
      <w:pPr>
        <w:pStyle w:val="P"/>
        <w:numPr>
          <w:ilvl w:val="0"/>
          <w:numId w:val="6"/>
        </w:numPr>
      </w:pPr>
      <w:r>
        <w:rPr/>
        <w:t xml:space="preserve">Ver QR: muestre el código en pantalla para que el conductor lo escanee.</w:t>
      </w:r>
    </w:p>
    <w:p>
      <w:pPr>
        <w:pStyle w:val="P"/>
      </w:pPr>
      <w:r>
        <w:rPr/>
        <w:t xml:space="preserve">En un control de carretera, el conductor muestra el PDF en su móvil o el agente escanea el QR impreso en el propio documento: la descarga es directa, por HTTPS y sin usuario ni clave, tal como exige la Resolución.</w:t>
      </w:r>
    </w:p>
    <w:p>
      <w:pPr>
        <w:pStyle w:val="Heading1"/>
      </w:pPr>
      <w:bookmarkStart w:id="13" w:name="_Toc13"/>
      <w:r>
        <w:t>7. Menú "Más" (solo administrador)</w:t>
      </w:r>
      <w:bookmarkEnd w:id="13"/>
    </w:p>
    <w:tbl>
      <w:tblGrid>
        <w:gridCol w:w="2700" w:type="dxa"/>
        <w:gridCol w:w="6500" w:type="dxa"/>
      </w:tblGrid>
      <w:tblPr>
        <w:tblStyle w:val="T"/>
      </w:tblPr>
      <w:tr>
        <w:trPr>
          <w:tblHeader w:val="1"/>
          <w:cantSplit w:val="1"/>
        </w:trPr>
        <w:tc>
          <w:tcPr>
            <w:tcW w:w="2700" w:type="dxa"/>
            <w:shd w:val="clear" w:fill="EEF2F7"/>
            <w:noWrap/>
          </w:tcPr>
          <w:p>
            <w:pPr/>
            <w:r>
              <w:rPr>
                <w:b w:val="1"/>
                <w:bCs w:val="1"/>
              </w:rPr>
              <w:t xml:space="preserve">Opción</w:t>
            </w:r>
          </w:p>
        </w:tc>
        <w:tc>
          <w:tcPr>
            <w:tcW w:w="6500" w:type="dxa"/>
            <w:shd w:val="clear" w:fill="EEF2F7"/>
            <w:noWrap/>
          </w:tcPr>
          <w:p>
            <w:pPr/>
            <w:r>
              <w:rPr>
                <w:b w:val="1"/>
                <w:bCs w:val="1"/>
              </w:rPr>
              <w:t xml:space="preserve">Para qué sirve</w:t>
            </w:r>
          </w:p>
        </w:tc>
      </w:tr>
      <w:tr>
        <w:trPr/>
        <w:tc>
          <w:tcPr>
            <w:tcW w:w="2700" w:type="dxa"/>
            <w:noWrap/>
          </w:tcPr>
          <w:p>
            <w:pPr/>
            <w:r>
              <w:rPr>
                <w:b w:val="1"/>
                <w:bCs w:val="1"/>
              </w:rPr>
              <w:t xml:space="preserve">Clientes</w:t>
            </w:r>
          </w:p>
        </w:tc>
        <w:tc>
          <w:tcPr>
            <w:tcW w:w="6500" w:type="dxa"/>
            <w:noWrap/>
          </w:tcPr>
          <w:p>
            <w:pPr/>
            <w:r>
              <w:rPr/>
              <w:t xml:space="preserve">Sus clientes, cargadores y transportistas habituales. Incluye búsqueda y filtros por función y estado.</w:t>
            </w:r>
          </w:p>
        </w:tc>
      </w:tr>
      <w:tr>
        <w:trPr/>
        <w:tc>
          <w:tcPr>
            <w:tcW w:w="2700" w:type="dxa"/>
            <w:noWrap/>
          </w:tcPr>
          <w:p>
            <w:pPr/>
            <w:r>
              <w:rPr>
                <w:b w:val="1"/>
                <w:bCs w:val="1"/>
              </w:rPr>
              <w:t xml:space="preserve">Importar clientes</w:t>
            </w:r>
          </w:p>
        </w:tc>
        <w:tc>
          <w:tcPr>
            <w:tcW w:w="6500" w:type="dxa"/>
            <w:noWrap/>
          </w:tcPr>
          <w:p>
            <w:pPr/>
            <w:r>
              <w:rPr/>
              <w:t xml:space="preserve">Carga hasta 1.000 clientes o transportistas desde un archivo XLSX o CSV, con vista previa y control de duplicados.</w:t>
            </w:r>
          </w:p>
        </w:tc>
      </w:tr>
      <w:tr>
        <w:trPr/>
        <w:tc>
          <w:tcPr>
            <w:tcW w:w="2700" w:type="dxa"/>
            <w:noWrap/>
          </w:tcPr>
          <w:p>
            <w:pPr/>
            <w:r>
              <w:rPr>
                <w:b w:val="1"/>
                <w:bCs w:val="1"/>
              </w:rPr>
              <w:t xml:space="preserve">Lugares habituales</w:t>
            </w:r>
          </w:p>
        </w:tc>
        <w:tc>
          <w:tcPr>
            <w:tcW w:w="6500" w:type="dxa"/>
            <w:noWrap/>
          </w:tcPr>
          <w:p>
            <w:pPr/>
            <w:r>
              <w:rPr/>
              <w:t xml:space="preserve">Granjas, almacenes y puntos frecuentes. En el viaje puede elegir uno o seguir escribiendo origen y destino manualmente.</w:t>
            </w:r>
          </w:p>
        </w:tc>
      </w:tr>
      <w:tr>
        <w:trPr/>
        <w:tc>
          <w:tcPr>
            <w:tcW w:w="2700" w:type="dxa"/>
            <w:noWrap/>
          </w:tcPr>
          <w:p>
            <w:pPr/>
            <w:r>
              <w:rPr>
                <w:b w:val="1"/>
                <w:bCs w:val="1"/>
              </w:rPr>
              <w:t xml:space="preserve">Conductores</w:t>
            </w:r>
          </w:p>
        </w:tc>
        <w:tc>
          <w:tcPr>
            <w:tcW w:w="6500" w:type="dxa"/>
            <w:noWrap/>
          </w:tcPr>
          <w:p>
            <w:pPr/>
            <w:r>
              <w:rPr/>
              <w:t xml:space="preserve">Nombre y móvil de sus conductores, para el envío directo por WhatsApp.</w:t>
            </w:r>
          </w:p>
        </w:tc>
      </w:tr>
      <w:tr>
        <w:trPr/>
        <w:tc>
          <w:tcPr>
            <w:tcW w:w="2700" w:type="dxa"/>
            <w:noWrap/>
          </w:tcPr>
          <w:p>
            <w:pPr/>
            <w:r>
              <w:rPr>
                <w:b w:val="1"/>
                <w:bCs w:val="1"/>
              </w:rPr>
              <w:t xml:space="preserve">Usuarios</w:t>
            </w:r>
          </w:p>
        </w:tc>
        <w:tc>
          <w:tcPr>
            <w:tcW w:w="6500" w:type="dxa"/>
            <w:noWrap/>
          </w:tcPr>
          <w:p>
            <w:pPr/>
            <w:r>
              <w:rPr/>
              <w:t xml:space="preserve">Personas de su empresa con acceso propio. Puede desactivarlos o cambiarles la clave en cualquier momento.</w:t>
            </w:r>
          </w:p>
        </w:tc>
      </w:tr>
      <w:tr>
        <w:trPr/>
        <w:tc>
          <w:tcPr>
            <w:tcW w:w="2700" w:type="dxa"/>
            <w:noWrap/>
          </w:tcPr>
          <w:p>
            <w:pPr/>
            <w:r>
              <w:rPr>
                <w:b w:val="1"/>
                <w:bCs w:val="1"/>
              </w:rPr>
              <w:t xml:space="preserve">Estadísticas</w:t>
            </w:r>
          </w:p>
        </w:tc>
        <w:tc>
          <w:tcPr>
            <w:tcW w:w="6500" w:type="dxa"/>
            <w:noWrap/>
          </w:tcPr>
          <w:p>
            <w:pPr/>
            <w:r>
              <w:rPr/>
              <w:t xml:space="preserve">Viajes y kilos transportados por mes y por cliente.</w:t>
            </w:r>
          </w:p>
        </w:tc>
      </w:tr>
      <w:tr>
        <w:trPr/>
        <w:tc>
          <w:tcPr>
            <w:tcW w:w="2700" w:type="dxa"/>
            <w:noWrap/>
          </w:tcPr>
          <w:p>
            <w:pPr/>
            <w:r>
              <w:rPr>
                <w:b w:val="1"/>
                <w:bCs w:val="1"/>
              </w:rPr>
              <w:t xml:space="preserve">Descarga masiva (ZIP)</w:t>
            </w:r>
          </w:p>
        </w:tc>
        <w:tc>
          <w:tcPr>
            <w:tcW w:w="6500" w:type="dxa"/>
            <w:noWrap/>
          </w:tcPr>
          <w:p>
            <w:pPr/>
            <w:r>
              <w:rPr/>
              <w:t xml:space="preserve">Descarga en un ZIP todos los PDFs de un rango de fechas: para inspecciones, su gestoría o su propia copia de seguridad.</w:t>
            </w:r>
          </w:p>
        </w:tc>
      </w:tr>
    </w:tbl>
    <w:p>
      <w:pPr>
        <w:spacing w:after="80"/>
      </w:pPr>
      <w:r>
        <w:rPr/>
        <w:t xml:space="preserve"/>
      </w:r>
    </w:p>
    <w:p>
      <w:pPr>
        <w:pStyle w:val="P"/>
      </w:pPr>
      <w:r>
        <w:rPr/>
        <w:t xml:space="preserve">Para una carga masiva, descargue la plantilla CSV desde Importar clientes, complétela con Excel y vuelva a cargarla. La vista previa muestra qué fichas se crearán, actualizarán u omitirán. Ningún dato se guarda hasta pulsar Confirmar importación.</w:t>
      </w:r>
    </w:p>
    <w:p>
      <w:pPr>
        <w:pStyle w:val="P"/>
        <w:numPr>
          <w:ilvl w:val="0"/>
          <w:numId w:val="6"/>
        </w:numPr>
      </w:pPr>
      <w:r>
        <w:rPr/>
        <w:t xml:space="preserve">Nombre y NIF son obligatorios. Cada fila debe marcarse como cliente, transportista o ambos.</w:t>
      </w:r>
    </w:p>
    <w:p>
      <w:pPr>
        <w:pStyle w:val="P"/>
        <w:numPr>
          <w:ilvl w:val="0"/>
          <w:numId w:val="6"/>
        </w:numPr>
      </w:pPr>
      <w:r>
        <w:rPr/>
        <w:t xml:space="preserve">Los duplicados se reconocen por referencia ERP, NIF o nombre dentro de su empresa.</w:t>
      </w:r>
    </w:p>
    <w:p>
      <w:pPr>
        <w:pStyle w:val="P"/>
        <w:numPr>
          <w:ilvl w:val="0"/>
          <w:numId w:val="6"/>
        </w:numPr>
      </w:pPr>
      <w:r>
        <w:rPr/>
        <w:t xml:space="preserve">Si una fila contiene un error, no se importa ninguna: el lote nunca queda a medias.</w:t>
      </w:r>
    </w:p>
    <w:p>
      <w:pPr>
        <w:pStyle w:val="Nota"/>
      </w:pPr>
      <w:r>
        <w:rPr>
          <w:color w:val="5B6773"/>
          <w:sz w:val="20"/>
          <w:szCs w:val="20"/>
          <w:i w:val="1"/>
          <w:iCs w:val="1"/>
        </w:rPr>
        <w:t xml:space="preserve">ℹ La empresa no se indica en el archivo. DECA ERP la toma de la sesión del administrador, por lo que los ficheros de clientes permanecen completamente separados.</w:t>
      </w:r>
    </w:p>
    <w:p>
      <w:pPr>
        <w:pStyle w:val="P"/>
      </w:pPr>
      <w:r>
        <w:rPr/>
        <w:t xml:space="preserve">En Clientes puede buscar por nombre, NIF, domicilio, contacto, teléfono, email o referencia ERP. El filtro de tipo permite ver solo clientes, solo transportistas o las entidades que cumplen ambas funciones. También puede separar fichas activas e inactivas.</w:t>
      </w:r>
    </w:p>
    <w:p>
      <w:pPr>
        <w:pStyle w:val="P"/>
      </w:pPr>
      <w:r>
        <w:rPr/>
        <w:t xml:space="preserve">En Lugares habituales puede guardar un código de granja, nombre y domicilio, e indicar si se utiliza como origen, destino o ambos. Es un maestro opcional: al preparar el viaje, el usuario puede elegir el lugar guardado o escribir cualquier dirección manualmente. El documento conserva una copia del texto usado en ese momento.</w:t>
      </w:r>
    </w:p>
    <w:p>
      <w:pPr>
        <w:pStyle w:val="Nota"/>
      </w:pPr>
      <w:r>
        <w:rPr>
          <w:color w:val="5B6773"/>
          <w:sz w:val="20"/>
          <w:szCs w:val="20"/>
          <w:i w:val="1"/>
          <w:iCs w:val="1"/>
        </w:rPr>
        <w:t xml:space="preserve">ℹ Recomendación: descargue periódicamente el CSV y el ZIP como copia de seguridad propia. La conservación de sus datos es responsabilidad de su empresa (véase legal.php en la web).</w:t>
      </w:r>
    </w:p>
    <w:p>
      <w:pPr>
        <w:pStyle w:val="Heading1"/>
      </w:pPr>
      <w:bookmarkStart w:id="14" w:name="_Toc14"/>
      <w:r>
        <w:t>8. Conexión por API REST (integración con su programa de gestión)</w:t>
      </w:r>
      <w:bookmarkEnd w:id="14"/>
    </w:p>
    <w:p>
      <w:pPr>
        <w:pStyle w:val="P"/>
      </w:pPr>
      <w:r>
        <w:rPr/>
        <w:t xml:space="preserve">La API permite que su ERP cree un DeCA incompleto antes de enviar la orden de transporte. La respuesta incluye inmediatamente un enlace privado para que el transportista complete los datos autorizados. Después, el ERP puede consultar la finalización y descargar el PDF vigente.</w:t>
      </w:r>
    </w:p>
    <w:p>
      <w:pPr>
        <w:pStyle w:val="P"/>
      </w:pPr>
      <w:r>
        <w:rPr/>
        <w:t xml:space="preserve">Para activarla, solicite su clave de API a soporte@decaerp.com. La clave es exclusiva de su empresa: guárdela como una contraseña.</w:t>
      </w:r>
    </w:p>
    <w:p>
      <w:pPr>
        <w:pStyle w:val="Heading2"/>
      </w:pPr>
      <w:bookmarkStart w:id="15" w:name="_Toc15"/>
      <w:r>
        <w:t>8.1. Recursos para el desarrollador</w:t>
      </w:r>
      <w:bookmarkEnd w:id="15"/>
    </w:p>
    <w:tbl>
      <w:tblGrid>
        <w:gridCol w:w="3100" w:type="dxa"/>
        <w:gridCol w:w="6100" w:type="dxa"/>
      </w:tblGrid>
      <w:tblPr>
        <w:tblStyle w:val="T"/>
      </w:tblPr>
      <w:tr>
        <w:trPr>
          <w:tblHeader w:val="1"/>
          <w:cantSplit w:val="1"/>
        </w:trPr>
        <w:tc>
          <w:tcPr>
            <w:tcW w:w="3100" w:type="dxa"/>
            <w:shd w:val="clear" w:fill="EEF2F7"/>
            <w:noWrap/>
          </w:tcPr>
          <w:p>
            <w:pPr/>
            <w:r>
              <w:rPr>
                <w:b w:val="1"/>
                <w:bCs w:val="1"/>
              </w:rPr>
              <w:t xml:space="preserve">Recurso</w:t>
            </w:r>
          </w:p>
        </w:tc>
        <w:tc>
          <w:tcPr>
            <w:tcW w:w="6100" w:type="dxa"/>
            <w:shd w:val="clear" w:fill="EEF2F7"/>
            <w:noWrap/>
          </w:tcPr>
          <w:p>
            <w:pPr/>
            <w:r>
              <w:rPr>
                <w:b w:val="1"/>
                <w:bCs w:val="1"/>
              </w:rPr>
              <w:t xml:space="preserve">Dirección y uso</w:t>
            </w:r>
          </w:p>
        </w:tc>
      </w:tr>
      <w:tr>
        <w:trPr/>
        <w:tc>
          <w:tcPr>
            <w:tcW w:w="3100" w:type="dxa"/>
            <w:noWrap/>
          </w:tcPr>
          <w:p>
            <w:pPr/>
            <w:r>
              <w:rPr>
                <w:sz w:val="20"/>
                <w:szCs w:val="20"/>
                <w:b w:val="1"/>
                <w:bCs w:val="1"/>
              </w:rPr>
              <w:t xml:space="preserve">Guía de integración ERP</w:t>
            </w:r>
          </w:p>
        </w:tc>
        <w:tc>
          <w:tcPr>
            <w:tcW w:w="6100" w:type="dxa"/>
            <w:noWrap/>
          </w:tcPr>
          <w:p>
            <w:pPr/>
            <w:r>
              <w:rPr>
                <w:sz w:val="19"/>
                <w:szCs w:val="19"/>
              </w:rPr>
              <w:t xml:space="preserve">https://decaerp.com/integracion-erp.html - Flujo recomendado, reglas, errores y puesta en producción.</w:t>
            </w:r>
          </w:p>
        </w:tc>
      </w:tr>
      <w:tr>
        <w:trPr/>
        <w:tc>
          <w:tcPr>
            <w:tcW w:w="3100" w:type="dxa"/>
            <w:noWrap/>
          </w:tcPr>
          <w:p>
            <w:pPr/>
            <w:r>
              <w:rPr>
                <w:sz w:val="20"/>
                <w:szCs w:val="20"/>
                <w:b w:val="1"/>
                <w:bCs w:val="1"/>
              </w:rPr>
              <w:t xml:space="preserve">Swagger UI</w:t>
            </w:r>
          </w:p>
        </w:tc>
        <w:tc>
          <w:tcPr>
            <w:tcW w:w="6100" w:type="dxa"/>
            <w:noWrap/>
          </w:tcPr>
          <w:p>
            <w:pPr/>
            <w:r>
              <w:rPr>
                <w:sz w:val="19"/>
                <w:szCs w:val="19"/>
              </w:rPr>
              <w:t xml:space="preserve">https://decaerp.com/swagger.html - Esquemas y pruebas reales con el botón Authorize.</w:t>
            </w:r>
          </w:p>
        </w:tc>
      </w:tr>
      <w:tr>
        <w:trPr/>
        <w:tc>
          <w:tcPr>
            <w:tcW w:w="3100" w:type="dxa"/>
            <w:noWrap/>
          </w:tcPr>
          <w:p>
            <w:pPr/>
            <w:r>
              <w:rPr>
                <w:sz w:val="20"/>
                <w:szCs w:val="20"/>
                <w:b w:val="1"/>
                <w:bCs w:val="1"/>
              </w:rPr>
              <w:t xml:space="preserve">Consola guiada</w:t>
            </w:r>
          </w:p>
        </w:tc>
        <w:tc>
          <w:tcPr>
            <w:tcW w:w="6100" w:type="dxa"/>
            <w:noWrap/>
          </w:tcPr>
          <w:p>
            <w:pPr/>
            <w:r>
              <w:rPr>
                <w:sz w:val="19"/>
                <w:szCs w:val="19"/>
              </w:rPr>
              <w:t xml:space="preserve">https://decaerp.com/api-docs.html - Ejemplos preparados para las operaciones habituales.</w:t>
            </w:r>
          </w:p>
        </w:tc>
      </w:tr>
      <w:tr>
        <w:trPr/>
        <w:tc>
          <w:tcPr>
            <w:tcW w:w="3100" w:type="dxa"/>
            <w:noWrap/>
          </w:tcPr>
          <w:p>
            <w:pPr/>
            <w:r>
              <w:rPr>
                <w:sz w:val="20"/>
                <w:szCs w:val="20"/>
                <w:b w:val="1"/>
                <w:bCs w:val="1"/>
              </w:rPr>
              <w:t xml:space="preserve">OpenAPI 3.0</w:t>
            </w:r>
          </w:p>
        </w:tc>
        <w:tc>
          <w:tcPr>
            <w:tcW w:w="6100" w:type="dxa"/>
            <w:noWrap/>
          </w:tcPr>
          <w:p>
            <w:pPr/>
            <w:r>
              <w:rPr>
                <w:sz w:val="19"/>
                <w:szCs w:val="19"/>
              </w:rPr>
              <w:t xml:space="preserve">https://decaerp.com/openapi.json - Importable en Postman y herramientas de generación de clientes.</w:t>
            </w:r>
          </w:p>
        </w:tc>
      </w:tr>
      <w:tr>
        <w:trPr/>
        <w:tc>
          <w:tcPr>
            <w:tcW w:w="3100" w:type="dxa"/>
            <w:noWrap/>
          </w:tcPr>
          <w:p>
            <w:pPr/>
            <w:r>
              <w:rPr>
                <w:sz w:val="20"/>
                <w:szCs w:val="20"/>
                <w:b w:val="1"/>
                <w:bCs w:val="1"/>
              </w:rPr>
              <w:t xml:space="preserve">Demo VB.NET + Access</w:t>
            </w:r>
          </w:p>
        </w:tc>
        <w:tc>
          <w:tcPr>
            <w:tcW w:w="6100" w:type="dxa"/>
            <w:noWrap/>
          </w:tcPr>
          <w:p>
            <w:pPr/>
            <w:r>
              <w:rPr>
                <w:sz w:val="19"/>
                <w:szCs w:val="19"/>
              </w:rPr>
              <w:t xml:space="preserve">Descargable desde la guía ERP. Proyecto para Visual Studio .NET Framework 4.8.</w:t>
            </w:r>
          </w:p>
        </w:tc>
      </w:tr>
    </w:tbl>
    <w:p>
      <w:pPr>
        <w:spacing w:after="80"/>
      </w:pPr>
      <w:r>
        <w:rPr/>
        <w:t xml:space="preserve"/>
      </w:r>
    </w:p>
    <w:p>
      <w:pPr>
        <w:pStyle w:val="Heading2"/>
      </w:pPr>
      <w:bookmarkStart w:id="16" w:name="_Toc16"/>
      <w:r>
        <w:t>8.2. Conexión y autenticación</w:t>
      </w:r>
      <w:bookmarkEnd w:id="16"/>
    </w:p>
    <w:p>
      <w:pPr>
        <w:pStyle w:val="P"/>
        <w:numPr>
          <w:ilvl w:val="0"/>
          <w:numId w:val="6"/>
        </w:numPr>
      </w:pPr>
      <w:r>
        <w:rPr/>
        <w:t xml:space="preserve">Documentos DeCA: https://decaerp.com/api.php</w:t>
      </w:r>
    </w:p>
    <w:p>
      <w:pPr>
        <w:pStyle w:val="P"/>
        <w:numPr>
          <w:ilvl w:val="0"/>
          <w:numId w:val="6"/>
        </w:numPr>
      </w:pPr>
      <w:r>
        <w:rPr/>
        <w:t xml:space="preserve">Repartos y rutas multipunto: https://decaerp.com/api_repartos.php</w:t>
      </w:r>
    </w:p>
    <w:p>
      <w:pPr>
        <w:pStyle w:val="P"/>
        <w:numPr>
          <w:ilvl w:val="0"/>
          <w:numId w:val="6"/>
        </w:numPr>
      </w:pPr>
      <w:r>
        <w:rPr/>
        <w:t xml:space="preserve">Historial y versiones PDF: https://decaerp.com/api_versiones.php</w:t>
      </w:r>
    </w:p>
    <w:p>
      <w:pPr>
        <w:pStyle w:val="P"/>
        <w:numPr>
          <w:ilvl w:val="0"/>
          <w:numId w:val="6"/>
        </w:numPr>
      </w:pPr>
      <w:r>
        <w:rPr/>
        <w:t xml:space="preserve">Maestros: /api_clientes.php, /api_vehiculos.php, /api_conductores.php y /api_lugares.php.</w:t>
      </w:r>
    </w:p>
    <w:p>
      <w:pPr>
        <w:pStyle w:val="P"/>
        <w:numPr>
          <w:ilvl w:val="0"/>
          <w:numId w:val="6"/>
        </w:numPr>
      </w:pPr>
      <w:r>
        <w:rPr/>
        <w:t xml:space="preserve">Importación masiva de entidades: /api_clientes_importar.php.</w:t>
      </w:r>
    </w:p>
    <w:p>
      <w:pPr>
        <w:pStyle w:val="P"/>
        <w:numPr>
          <w:ilvl w:val="0"/>
          <w:numId w:val="6"/>
        </w:numPr>
      </w:pPr>
      <w:r>
        <w:rPr/>
        <w:t xml:space="preserve">Autenticación: cabecera HTTP X-Api-Key: SU-CLAVE en todas las llamadas.</w:t>
      </w:r>
    </w:p>
    <w:p>
      <w:pPr>
        <w:pStyle w:val="P"/>
        <w:numPr>
          <w:ilvl w:val="0"/>
          <w:numId w:val="6"/>
        </w:numPr>
      </w:pPr>
      <w:r>
        <w:rPr/>
        <w:t xml:space="preserve">Formato: JSON en UTF-8. Altas y cambios usan POST; consultas y listados usan GET.</w:t>
      </w:r>
    </w:p>
    <w:p>
      <w:pPr>
        <w:pStyle w:val="P"/>
        <w:numPr>
          <w:ilvl w:val="0"/>
          <w:numId w:val="6"/>
        </w:numPr>
      </w:pPr>
      <w:r>
        <w:rPr/>
        <w:t xml:space="preserve">No incluya la clave en la URL, en el código fuente ni en registros de diagnóstico.</w:t>
      </w:r>
    </w:p>
    <w:p>
      <w:pPr>
        <w:pStyle w:val="Nota"/>
      </w:pPr>
      <w:r>
        <w:rPr>
          <w:color w:val="5B6773"/>
          <w:sz w:val="20"/>
          <w:szCs w:val="20"/>
          <w:i w:val="1"/>
          <w:iCs w:val="1"/>
        </w:rPr>
        <w:t xml:space="preserve">ℹ Swagger y la consola actúan sobre la empresa asociada a la clave. Para ensayos de escritura utilice una clave de pruebas.</w:t>
      </w:r>
    </w:p>
    <w:p>
      <w:pPr>
        <w:pStyle w:val="Heading2"/>
      </w:pPr>
      <w:bookmarkStart w:id="17" w:name="_Toc17"/>
      <w:r>
        <w:t>8.3. Identificación del registro del ERP</w:t>
      </w:r>
      <w:bookmarkEnd w:id="17"/>
    </w:p>
    <w:p>
      <w:pPr>
        <w:pStyle w:val="P"/>
      </w:pPr>
      <w:r>
        <w:rPr/>
        <w:t xml:space="preserve">Se recomienda enviar siempre origenRegistro e idExterno. La pareja identifica de forma única el envío, expedición o albarán del ERP dentro de la empresa. Permite localizar después el DeCA aunque no se haya guardado manualmente su identificador. Repetir la pareja en un alta devuelve HTTP 409.</w:t>
      </w:r>
    </w:p>
    <w:p>
      <w:pPr>
        <w:pStyle w:val="P"/>
        <w:numPr>
          <w:ilvl w:val="0"/>
          <w:numId w:val="6"/>
        </w:numPr>
      </w:pPr>
      <w:r>
        <w:rPr/>
        <w:t xml:space="preserve">origenRegistro: código estable del sistema, por ejemplo ERP_CLIENTE o APP_FLOTA.</w:t>
      </w:r>
    </w:p>
    <w:p>
      <w:pPr>
        <w:pStyle w:val="P"/>
        <w:numPr>
          <w:ilvl w:val="0"/>
          <w:numId w:val="6"/>
        </w:numPr>
      </w:pPr>
      <w:r>
        <w:rPr/>
        <w:t xml:space="preserve">idExterno: referencia estable del registro en ese sistema, por ejemplo EXP-2026-00158.</w:t>
      </w:r>
    </w:p>
    <w:p>
      <w:pPr>
        <w:pStyle w:val="P"/>
        <w:numPr>
          <w:ilvl w:val="0"/>
          <w:numId w:val="6"/>
        </w:numPr>
      </w:pPr>
      <w:r>
        <w:rPr/>
        <w:t xml:space="preserve">Guarde idDeca, urlEdicion y la referencia externa. Use urlDocumento para la vista vigente y urlDescargaPdf para archivar el PDF desde el ERP.</w:t>
      </w:r>
    </w:p>
    <w:p>
      <w:pPr>
        <w:pStyle w:val="Heading2"/>
      </w:pPr>
      <w:bookmarkStart w:id="18" w:name="_Toc18"/>
      <w:r>
        <w:t>8.4. Sincronizar clientes, vehículos, conductores y lugares</w:t>
      </w:r>
      <w:bookmarkEnd w:id="18"/>
    </w:p>
    <w:p>
      <w:pPr>
        <w:pStyle w:val="P"/>
      </w:pPr>
      <w:r>
        <w:rPr/>
        <w:t xml:space="preserve">Los maestros son opcionales para crear un documento, pero permiten que el ERP y la aplicación web compartan clientes, matrículas, conductores y lugares habituales. La operación recomendada es accion=guardar: la primera llamada crea el registro y las siguientes actualizan el mismo elemento por origenRegistro + idExterno.</w:t>
      </w:r>
    </w:p>
    <w:p>
      <w:pPr>
        <w:pStyle w:val="P"/>
        <w:numPr>
          <w:ilvl w:val="0"/>
          <w:numId w:val="6"/>
        </w:numPr>
      </w:pPr>
      <w:r>
        <w:rPr/>
        <w:t xml:space="preserve">Clientes: POST /api_clientes.php - nombre, nif, domicilio, activo y referencia ERP.</w:t>
      </w:r>
    </w:p>
    <w:p>
      <w:pPr>
        <w:pStyle w:val="P"/>
        <w:numPr>
          <w:ilvl w:val="0"/>
          <w:numId w:val="6"/>
        </w:numPr>
      </w:pPr>
      <w:r>
        <w:rPr/>
        <w:t xml:space="preserve">Vehículos: POST /api_vehiculos.php - matricula, tipo (tractora, remolque, rigido u otro), marca, modelo, activo y referencia ERP.</w:t>
      </w:r>
    </w:p>
    <w:p>
      <w:pPr>
        <w:pStyle w:val="P"/>
        <w:numPr>
          <w:ilvl w:val="0"/>
          <w:numId w:val="6"/>
        </w:numPr>
      </w:pPr>
      <w:r>
        <w:rPr/>
        <w:t xml:space="preserve">Conductores: POST /api_conductores.php - nombre, telefono, activo y referencia ERP.</w:t>
      </w:r>
    </w:p>
    <w:p>
      <w:pPr>
        <w:pStyle w:val="P"/>
        <w:numPr>
          <w:ilvl w:val="0"/>
          <w:numId w:val="6"/>
        </w:numPr>
      </w:pPr>
      <w:r>
        <w:rPr/>
        <w:t xml:space="preserve">Lugares: POST /api_lugares.php - código, nombre, domicilio, uso como origen o destino, activo y referencia ERP.</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/api_clientes.php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w:t>
            </w:r>
          </w:p>
          <w:p>
            <w:pPr>
              <w:spacing w:after="0"/>
            </w:pPr>
            <w:r>
              <w:rPr>
                <w:rFonts w:ascii="Consolas" w:hAnsi="Consolas" w:eastAsia="Consolas" w:cs="Consolas"/>
                <w:color w:val="D9E2EC"/>
                <w:sz w:val="17"/>
                <w:szCs w:val="17"/>
              </w:rPr>
              <w:t xml:space="preserve">  "accion": "guardar",</w:t>
            </w:r>
          </w:p>
          <w:p>
            <w:pPr>
              <w:spacing w:after="0"/>
            </w:pPr>
            <w:r>
              <w:rPr>
                <w:rFonts w:ascii="Consolas" w:hAnsi="Consolas" w:eastAsia="Consolas" w:cs="Consolas"/>
                <w:color w:val="D9E2EC"/>
                <w:sz w:val="17"/>
                <w:szCs w:val="17"/>
              </w:rPr>
              <w:t xml:space="preserve">  "nombre": "Harinas Leonesas SL",</w:t>
            </w:r>
          </w:p>
          <w:p>
            <w:pPr>
              <w:spacing w:after="0"/>
            </w:pPr>
            <w:r>
              <w:rPr>
                <w:rFonts w:ascii="Consolas" w:hAnsi="Consolas" w:eastAsia="Consolas" w:cs="Consolas"/>
                <w:color w:val="D9E2EC"/>
                <w:sz w:val="17"/>
                <w:szCs w:val="17"/>
              </w:rPr>
              <w:t xml:space="preserve">  "nif": "B24010101",</w:t>
            </w:r>
          </w:p>
          <w:p>
            <w:pPr>
              <w:spacing w:after="0"/>
            </w:pPr>
            <w:r>
              <w:rPr>
                <w:rFonts w:ascii="Consolas" w:hAnsi="Consolas" w:eastAsia="Consolas" w:cs="Consolas"/>
                <w:color w:val="D9E2EC"/>
                <w:sz w:val="17"/>
                <w:szCs w:val="17"/>
              </w:rPr>
              <w:t xml:space="preserve">  "domicilio": "Pol. Ind. Leon Oeste 12, Leon",</w:t>
            </w:r>
          </w:p>
          <w:p>
            <w:pPr>
              <w:spacing w:after="0"/>
            </w:pPr>
            <w:r>
              <w:rPr>
                <w:rFonts w:ascii="Consolas" w:hAnsi="Consolas" w:eastAsia="Consolas" w:cs="Consolas"/>
                <w:color w:val="D9E2EC"/>
                <w:sz w:val="17"/>
                <w:szCs w:val="17"/>
              </w:rPr>
              <w:t xml:space="preserve">  "origenRegistro": "ERP_EMPRESA",</w:t>
            </w:r>
          </w:p>
          <w:p>
            <w:pPr>
              <w:spacing w:after="0"/>
            </w:pPr>
            <w:r>
              <w:rPr>
                <w:rFonts w:ascii="Consolas" w:hAnsi="Consolas" w:eastAsia="Consolas" w:cs="Consolas"/>
                <w:color w:val="D9E2EC"/>
                <w:sz w:val="17"/>
                <w:szCs w:val="17"/>
              </w:rPr>
              <w:t xml:space="preserve">  "idExterno": "CLI-00428"</w:t>
            </w:r>
          </w:p>
          <w:p>
            <w:pPr>
              <w:spacing w:after="0"/>
            </w:pPr>
            <w:r>
              <w:rPr>
                <w:rFonts w:ascii="Consolas" w:hAnsi="Consolas" w:eastAsia="Consolas" w:cs="Consolas"/>
                <w:color w:val="D9E2EC"/>
                <w:sz w:val="17"/>
                <w:szCs w:val="17"/>
              </w:rPr>
              <w:t xml:space="preserve">}</w:t>
            </w:r>
          </w:p>
        </w:tc>
      </w:tr>
    </w:tbl>
    <w:p>
      <w:pPr>
        <w:spacing w:after="60"/>
      </w:pPr>
      <w:r>
        <w:rPr/>
        <w:t xml:space="preserve"/>
      </w:r>
    </w:p>
    <w:p>
      <w:pPr>
        <w:pStyle w:val="P"/>
      </w:pPr>
      <w:r>
        <w:rPr/>
        <w:t xml:space="preserve">Para desactivar un maestro se envía accion=desactivar con su id interno o su referencia ERP. No se borra físicamente, de modo que los documentos históricos siguen siendo coherentes.</w:t>
      </w:r>
    </w:p>
    <w:p>
      <w:pPr>
        <w:pStyle w:val="P"/>
      </w:pPr>
      <w:r>
        <w:rPr/>
        <w:t xml:space="preserve">Para lotes de hasta 1.000 entidades utilice /api_clientes_importar.php. Envíe primero accion=validar para obtener el resumen sin guardar. Tras revisarlo, repita el mismo JSON con accion=importar:</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/api_clientes_importar.php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w:t>
            </w:r>
          </w:p>
          <w:p>
            <w:pPr>
              <w:spacing w:after="0"/>
            </w:pPr>
            <w:r>
              <w:rPr>
                <w:rFonts w:ascii="Consolas" w:hAnsi="Consolas" w:eastAsia="Consolas" w:cs="Consolas"/>
                <w:color w:val="D9E2EC"/>
                <w:sz w:val="17"/>
                <w:szCs w:val="17"/>
              </w:rPr>
              <w:t xml:space="preserve">  "accion": "validar",</w:t>
            </w:r>
          </w:p>
          <w:p>
            <w:pPr>
              <w:spacing w:after="0"/>
            </w:pPr>
            <w:r>
              <w:rPr>
                <w:rFonts w:ascii="Consolas" w:hAnsi="Consolas" w:eastAsia="Consolas" w:cs="Consolas"/>
                <w:color w:val="D9E2EC"/>
                <w:sz w:val="17"/>
                <w:szCs w:val="17"/>
              </w:rPr>
              <w:t xml:space="preserve">  "modoDuplicados": "actualizar",</w:t>
            </w:r>
          </w:p>
          <w:p>
            <w:pPr>
              <w:spacing w:after="0"/>
            </w:pPr>
            <w:r>
              <w:rPr>
                <w:rFonts w:ascii="Consolas" w:hAnsi="Consolas" w:eastAsia="Consolas" w:cs="Consolas"/>
                <w:color w:val="D9E2EC"/>
                <w:sz w:val="17"/>
                <w:szCs w:val="17"/>
              </w:rPr>
              <w:t xml:space="preserve">  "registros": [</w:t>
            </w:r>
          </w:p>
          <w:p>
            <w:pPr>
              <w:spacing w:after="0"/>
            </w:pPr>
            <w:r>
              <w:rPr>
                <w:rFonts w:ascii="Consolas" w:hAnsi="Consolas" w:eastAsia="Consolas" w:cs="Consolas"/>
                <w:color w:val="D9E2EC"/>
                <w:sz w:val="17"/>
                <w:szCs w:val="17"/>
              </w:rPr>
              <w:t xml:space="preserve">    {"nombre":"Harinas Leonesas SL","nif":"B24010101",</w:t>
            </w:r>
          </w:p>
          <w:p>
            <w:pPr>
              <w:spacing w:after="0"/>
            </w:pPr>
            <w:r>
              <w:rPr>
                <w:rFonts w:ascii="Consolas" w:hAnsi="Consolas" w:eastAsia="Consolas" w:cs="Consolas"/>
                <w:color w:val="D9E2EC"/>
                <w:sz w:val="17"/>
                <w:szCs w:val="17"/>
              </w:rPr>
              <w:t xml:space="preserve">     "esCliente":true,"origenRegistro":"ERP","idExterno":"CLI-428"}</w:t>
            </w:r>
          </w:p>
          <w:p>
            <w:pPr>
              <w:spacing w:after="0"/>
            </w:pPr>
            <w:r>
              <w:rPr>
                <w:rFonts w:ascii="Consolas" w:hAnsi="Consolas" w:eastAsia="Consolas" w:cs="Consolas"/>
                <w:color w:val="D9E2EC"/>
                <w:sz w:val="17"/>
                <w:szCs w:val="17"/>
              </w:rPr>
              <w:t xml:space="preserve">  ]</w:t>
            </w:r>
          </w:p>
          <w:p>
            <w:pPr>
              <w:spacing w:after="0"/>
            </w:pPr>
            <w:r>
              <w:rPr>
                <w:rFonts w:ascii="Consolas" w:hAnsi="Consolas" w:eastAsia="Consolas" w:cs="Consolas"/>
                <w:color w:val="D9E2EC"/>
                <w:sz w:val="17"/>
                <w:szCs w:val="17"/>
              </w:rPr>
              <w:t xml:space="preserve">}</w:t>
            </w:r>
          </w:p>
        </w:tc>
      </w:tr>
    </w:tbl>
    <w:p>
      <w:pPr>
        <w:spacing w:after="60"/>
      </w:pPr>
      <w:r>
        <w:rPr/>
        <w:t xml:space="preserve"/>
      </w:r>
    </w:p>
    <w:p>
      <w:pPr>
        <w:pStyle w:val="Nota"/>
      </w:pPr>
      <w:r>
        <w:rPr>
          <w:color w:val="5B6773"/>
          <w:sz w:val="20"/>
          <w:szCs w:val="20"/>
          <w:i w:val="1"/>
          <w:iCs w:val="1"/>
        </w:rPr>
        <w:t xml:space="preserve">ℹ El lote es transaccional y siempre queda asociado a la empresa de X-Api-Key. El endpoint no admite idEmpresa.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/api_lugares.php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 "accion": "guardar", "codigo": "GR-018",</w:t>
            </w:r>
          </w:p>
          <w:p>
            <w:pPr>
              <w:spacing w:after="0"/>
            </w:pPr>
            <w:r>
              <w:rPr>
                <w:rFonts w:ascii="Consolas" w:hAnsi="Consolas" w:eastAsia="Consolas" w:cs="Consolas"/>
                <w:color w:val="D9E2EC"/>
                <w:sz w:val="17"/>
                <w:szCs w:val="17"/>
              </w:rPr>
              <w:t xml:space="preserve">  "nombre": "Granja Los Prados", "domicilio": "Camino Rural 4, Segovia",</w:t>
            </w:r>
          </w:p>
          <w:p>
            <w:pPr>
              <w:spacing w:after="0"/>
            </w:pPr>
            <w:r>
              <w:rPr>
                <w:rFonts w:ascii="Consolas" w:hAnsi="Consolas" w:eastAsia="Consolas" w:cs="Consolas"/>
                <w:color w:val="D9E2EC"/>
                <w:sz w:val="17"/>
                <w:szCs w:val="17"/>
              </w:rPr>
              <w:t xml:space="preserve">  "esOrigen": true, "esDestino": false,</w:t>
            </w:r>
          </w:p>
          <w:p>
            <w:pPr>
              <w:spacing w:after="0"/>
            </w:pPr>
            <w:r>
              <w:rPr>
                <w:rFonts w:ascii="Consolas" w:hAnsi="Consolas" w:eastAsia="Consolas" w:cs="Consolas"/>
                <w:color w:val="D9E2EC"/>
                <w:sz w:val="17"/>
                <w:szCs w:val="17"/>
              </w:rPr>
              <w:t xml:space="preserve">  "origenRegistro": "ERP_EMPRESA", "idExterno": "GRANJA-018" }</w:t>
            </w:r>
          </w:p>
        </w:tc>
      </w:tr>
    </w:tbl>
    <w:p>
      <w:pPr>
        <w:spacing w:after="60"/>
      </w:pPr>
      <w:r>
        <w:rPr/>
        <w:t xml:space="preserve"/>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/api_clientes.php?activo=1&amp;rol=ambos&amp;q=Harinas&amp;limit=50</w:t>
            </w:r>
          </w:p>
          <w:p>
            <w:pPr>
              <w:spacing w:after="0"/>
            </w:pPr>
            <w:r>
              <w:rPr>
                <w:rFonts w:ascii="Consolas" w:hAnsi="Consolas" w:eastAsia="Consolas" w:cs="Consolas"/>
                <w:color w:val="D9E2EC"/>
                <w:sz w:val="17"/>
                <w:szCs w:val="17"/>
              </w:rPr>
              <w:t xml:space="preserve">GET /api_vehiculos.php?origen=ERP_EMPRESA&amp;idExterno=VEH-00117</w:t>
            </w:r>
          </w:p>
          <w:p>
            <w:pPr>
              <w:spacing w:after="0"/>
            </w:pPr>
            <w:r>
              <w:rPr>
                <w:rFonts w:ascii="Consolas" w:hAnsi="Consolas" w:eastAsia="Consolas" w:cs="Consolas"/>
                <w:color w:val="D9E2EC"/>
                <w:sz w:val="17"/>
                <w:szCs w:val="17"/>
              </w:rPr>
              <w:t xml:space="preserve">GET /api_conductores.php?id=32</w:t>
            </w:r>
          </w:p>
          <w:p>
            <w:pPr>
              <w:spacing w:after="0"/>
            </w:pPr>
            <w:r>
              <w:rPr>
                <w:rFonts w:ascii="Consolas" w:hAnsi="Consolas" w:eastAsia="Consolas" w:cs="Consolas"/>
                <w:color w:val="D9E2EC"/>
                <w:sz w:val="17"/>
                <w:szCs w:val="17"/>
              </w:rPr>
              <w:t xml:space="preserve">GET /api_lugares.php?activo=1&amp;uso=origen&amp;q=Granja</w:t>
            </w:r>
          </w:p>
        </w:tc>
      </w:tr>
    </w:tbl>
    <w:p>
      <w:pPr>
        <w:spacing w:after="60"/>
      </w:pPr>
      <w:r>
        <w:rPr/>
        <w:t xml:space="preserve"/>
      </w:r>
    </w:p>
    <w:p>
      <w:pPr>
        <w:pStyle w:val="Nota"/>
      </w:pPr>
      <w:r>
        <w:rPr>
          <w:color w:val="5B6773"/>
          <w:sz w:val="20"/>
          <w:szCs w:val="20"/>
          <w:i w:val="1"/>
          <w:iCs w:val="1"/>
        </w:rPr>
        <w:t xml:space="preserve">ℹ El DeCA conserva los datos propios de cada viaje. Aunque se sincronicen maestros, el documento guarda una copia de los datos usados en ese transporte. La fecha y las matrículas pueden quedar pendientes y completarse después.</w:t>
      </w:r>
    </w:p>
    <w:p>
      <w:pPr>
        <w:pStyle w:val="Heading2"/>
      </w:pPr>
      <w:bookmarkStart w:id="19" w:name="_Toc19"/>
      <w:r>
        <w:t>8.5. Crear un DeCA (POST)</w:t>
      </w:r>
      <w:bookmarkEnd w:id="19"/>
    </w:p>
    <w:p>
      <w:pPr>
        <w:pStyle w:val="P"/>
      </w:pPr>
      <w:r>
        <w:rPr/>
        <w:t xml:space="preserve">El JSON debe incluir accion=crear. Con fechaTransporte se validan los datos obligatorios y se genera el PDF. Sin fecha, el viaje queda no planificado y puede completarse más adelante:</w:t>
      </w:r>
    </w:p>
    <w:tbl>
      <w:tblGrid>
        <w:gridCol w:w="3200" w:type="dxa"/>
        <w:gridCol w:w="6000" w:type="dxa"/>
      </w:tblGrid>
      <w:tblPr>
        <w:tblStyle w:val="T"/>
      </w:tblPr>
      <w:tr>
        <w:trPr>
          <w:tblHeader w:val="1"/>
          <w:cantSplit w:val="1"/>
        </w:trPr>
        <w:tc>
          <w:tcPr>
            <w:tcW w:w="3200" w:type="dxa"/>
            <w:shd w:val="clear" w:fill="EEF2F7"/>
            <w:noWrap/>
          </w:tcPr>
          <w:p>
            <w:pPr/>
            <w:r>
              <w:rPr>
                <w:b w:val="1"/>
                <w:bCs w:val="1"/>
              </w:rPr>
              <w:t xml:space="preserve">Campo</w:t>
            </w:r>
          </w:p>
        </w:tc>
        <w:tc>
          <w:tcPr>
            <w:tcW w:w="6000" w:type="dxa"/>
            <w:shd w:val="clear" w:fill="EEF2F7"/>
            <w:noWrap/>
          </w:tcPr>
          <w:p>
            <w:pPr/>
            <w:r>
              <w:rPr>
                <w:b w:val="1"/>
                <w:bCs w:val="1"/>
              </w:rPr>
              <w:t xml:space="preserve">Descripción</w:t>
            </w:r>
          </w:p>
        </w:tc>
      </w:tr>
      <w:tr>
        <w:trPr/>
        <w:tc>
          <w:tcPr>
            <w:tcW w:w="3200" w:type="dxa"/>
            <w:noWrap/>
          </w:tcPr>
          <w:p>
            <w:pPr/>
            <w:r>
              <w:rPr>
                <w:rFonts w:ascii="Consolas" w:hAnsi="Consolas" w:eastAsia="Consolas" w:cs="Consolas"/>
                <w:sz w:val="18"/>
                <w:szCs w:val="18"/>
              </w:rPr>
              <w:t xml:space="preserve">accion</w:t>
            </w:r>
          </w:p>
        </w:tc>
        <w:tc>
          <w:tcPr>
            <w:tcW w:w="6000" w:type="dxa"/>
            <w:noWrap/>
          </w:tcPr>
          <w:p>
            <w:pPr/>
            <w:r>
              <w:rPr>
                <w:sz w:val="20"/>
                <w:szCs w:val="20"/>
              </w:rPr>
              <w:t xml:space="preserve">crear para un alta; actualizar para modificar un documento.</w:t>
            </w:r>
          </w:p>
        </w:tc>
      </w:tr>
      <w:tr>
        <w:trPr/>
        <w:tc>
          <w:tcPr>
            <w:tcW w:w="3200" w:type="dxa"/>
            <w:noWrap/>
          </w:tcPr>
          <w:p>
            <w:pPr/>
            <w:r>
              <w:rPr>
                <w:rFonts w:ascii="Consolas" w:hAnsi="Consolas" w:eastAsia="Consolas" w:cs="Consolas"/>
                <w:sz w:val="18"/>
                <w:szCs w:val="18"/>
              </w:rPr>
              <w:t xml:space="preserve">cargadorNombre *</w:t>
            </w:r>
          </w:p>
        </w:tc>
        <w:tc>
          <w:tcPr>
            <w:tcW w:w="6000" w:type="dxa"/>
            <w:noWrap/>
          </w:tcPr>
          <w:p>
            <w:pPr/>
            <w:r>
              <w:rPr>
                <w:sz w:val="20"/>
                <w:szCs w:val="20"/>
              </w:rPr>
              <w:t xml:space="preserve">Nombre o razón social del cargador contractual.</w:t>
            </w:r>
          </w:p>
        </w:tc>
      </w:tr>
      <w:tr>
        <w:trPr/>
        <w:tc>
          <w:tcPr>
            <w:tcW w:w="3200" w:type="dxa"/>
            <w:noWrap/>
          </w:tcPr>
          <w:p>
            <w:pPr/>
            <w:r>
              <w:rPr>
                <w:rFonts w:ascii="Consolas" w:hAnsi="Consolas" w:eastAsia="Consolas" w:cs="Consolas"/>
                <w:sz w:val="18"/>
                <w:szCs w:val="18"/>
              </w:rPr>
              <w:t xml:space="preserve">cargadorNif *</w:t>
            </w:r>
          </w:p>
        </w:tc>
        <w:tc>
          <w:tcPr>
            <w:tcW w:w="6000" w:type="dxa"/>
            <w:noWrap/>
          </w:tcPr>
          <w:p>
            <w:pPr/>
            <w:r>
              <w:rPr>
                <w:sz w:val="20"/>
                <w:szCs w:val="20"/>
              </w:rPr>
              <w:t xml:space="preserve">NIF del cargador.</w:t>
            </w:r>
          </w:p>
        </w:tc>
      </w:tr>
      <w:tr>
        <w:trPr/>
        <w:tc>
          <w:tcPr>
            <w:tcW w:w="3200" w:type="dxa"/>
            <w:noWrap/>
          </w:tcPr>
          <w:p>
            <w:pPr/>
            <w:r>
              <w:rPr>
                <w:rFonts w:ascii="Consolas" w:hAnsi="Consolas" w:eastAsia="Consolas" w:cs="Consolas"/>
                <w:sz w:val="18"/>
                <w:szCs w:val="18"/>
              </w:rPr>
              <w:t xml:space="preserve">cargadorDomicilio *</w:t>
            </w:r>
          </w:p>
        </w:tc>
        <w:tc>
          <w:tcPr>
            <w:tcW w:w="6000" w:type="dxa"/>
            <w:noWrap/>
          </w:tcPr>
          <w:p>
            <w:pPr/>
            <w:r>
              <w:rPr>
                <w:sz w:val="20"/>
                <w:szCs w:val="20"/>
              </w:rPr>
              <w:t xml:space="preserve">Domicilio del cargador.</w:t>
            </w:r>
          </w:p>
        </w:tc>
      </w:tr>
      <w:tr>
        <w:trPr/>
        <w:tc>
          <w:tcPr>
            <w:tcW w:w="3200" w:type="dxa"/>
            <w:noWrap/>
          </w:tcPr>
          <w:p>
            <w:pPr/>
            <w:r>
              <w:rPr>
                <w:rFonts w:ascii="Consolas" w:hAnsi="Consolas" w:eastAsia="Consolas" w:cs="Consolas"/>
                <w:sz w:val="18"/>
                <w:szCs w:val="18"/>
              </w:rPr>
              <w:t xml:space="preserve">transportistaNombre / transportistaNif</w:t>
            </w:r>
          </w:p>
        </w:tc>
        <w:tc>
          <w:tcPr>
            <w:tcW w:w="6000" w:type="dxa"/>
            <w:noWrap/>
          </w:tcPr>
          <w:p>
            <w:pPr/>
            <w:r>
              <w:rPr>
                <w:sz w:val="20"/>
                <w:szCs w:val="20"/>
              </w:rPr>
              <w:t xml:space="preserve">Opcionales: si no se envían, se usan los de su ficha de empresa.</w:t>
            </w:r>
          </w:p>
        </w:tc>
      </w:tr>
      <w:tr>
        <w:trPr/>
        <w:tc>
          <w:tcPr>
            <w:tcW w:w="3200" w:type="dxa"/>
            <w:noWrap/>
          </w:tcPr>
          <w:p>
            <w:pPr/>
            <w:r>
              <w:rPr>
                <w:rFonts w:ascii="Consolas" w:hAnsi="Consolas" w:eastAsia="Consolas" w:cs="Consolas"/>
                <w:sz w:val="18"/>
                <w:szCs w:val="18"/>
              </w:rPr>
              <w:t xml:space="preserve">origen * / destino *</w:t>
            </w:r>
          </w:p>
        </w:tc>
        <w:tc>
          <w:tcPr>
            <w:tcW w:w="6000" w:type="dxa"/>
            <w:noWrap/>
          </w:tcPr>
          <w:p>
            <w:pPr/>
            <w:r>
              <w:rPr>
                <w:sz w:val="20"/>
                <w:szCs w:val="20"/>
              </w:rPr>
              <w:t xml:space="preserve">Lugares de origen y destino. Pueden escribirse manualmente.</w:t>
            </w:r>
          </w:p>
        </w:tc>
      </w:tr>
      <w:tr>
        <w:trPr/>
        <w:tc>
          <w:tcPr>
            <w:tcW w:w="3200" w:type="dxa"/>
            <w:noWrap/>
          </w:tcPr>
          <w:p>
            <w:pPr/>
            <w:r>
              <w:rPr>
                <w:rFonts w:ascii="Consolas" w:hAnsi="Consolas" w:eastAsia="Consolas" w:cs="Consolas"/>
                <w:sz w:val="18"/>
                <w:szCs w:val="18"/>
              </w:rPr>
              <w:t xml:space="preserve">idLugarOrigen / idLugarDestino</w:t>
            </w:r>
          </w:p>
        </w:tc>
        <w:tc>
          <w:tcPr>
            <w:tcW w:w="6000" w:type="dxa"/>
            <w:noWrap/>
          </w:tcPr>
          <w:p>
            <w:pPr/>
            <w:r>
              <w:rPr>
                <w:sz w:val="20"/>
                <w:szCs w:val="20"/>
              </w:rPr>
              <w:t xml:space="preserve">Opcionales. Referencias del maestro de lugares; la API valida la empresa y copia su nombre y domicilio.</w:t>
            </w:r>
          </w:p>
        </w:tc>
      </w:tr>
      <w:tr>
        <w:trPr/>
        <w:tc>
          <w:tcPr>
            <w:tcW w:w="3200" w:type="dxa"/>
            <w:noWrap/>
          </w:tcPr>
          <w:p>
            <w:pPr/>
            <w:r>
              <w:rPr>
                <w:rFonts w:ascii="Consolas" w:hAnsi="Consolas" w:eastAsia="Consolas" w:cs="Consolas"/>
                <w:sz w:val="18"/>
                <w:szCs w:val="18"/>
              </w:rPr>
              <w:t xml:space="preserve">lineas[] *</w:t>
            </w:r>
          </w:p>
        </w:tc>
        <w:tc>
          <w:tcPr>
            <w:tcW w:w="6000" w:type="dxa"/>
            <w:noWrap/>
          </w:tcPr>
          <w:p>
            <w:pPr/>
            <w:r>
              <w:rPr>
                <w:sz w:val="20"/>
                <w:szCs w:val="20"/>
              </w:rPr>
              <w:t xml:space="preserve">Mercancías: descripción, cantidad, unidad y pesoKg. Con fecha debe enviarse al menos una línea válida.</w:t>
            </w:r>
          </w:p>
        </w:tc>
      </w:tr>
      <w:tr>
        <w:trPr/>
        <w:tc>
          <w:tcPr>
            <w:tcW w:w="3200" w:type="dxa"/>
            <w:noWrap/>
          </w:tcPr>
          <w:p>
            <w:pPr/>
            <w:r>
              <w:rPr>
                <w:rFonts w:ascii="Consolas" w:hAnsi="Consolas" w:eastAsia="Consolas" w:cs="Consolas"/>
                <w:sz w:val="18"/>
                <w:szCs w:val="18"/>
              </w:rPr>
              <w:t xml:space="preserve">fechaTransporte</w:t>
            </w:r>
          </w:p>
        </w:tc>
        <w:tc>
          <w:tcPr>
            <w:tcW w:w="6000" w:type="dxa"/>
            <w:noWrap/>
          </w:tcPr>
          <w:p>
            <w:pPr/>
            <w:r>
              <w:rPr>
                <w:sz w:val="20"/>
                <w:szCs w:val="20"/>
              </w:rPr>
              <w:t xml:space="preserve">Formato AAAA-MM-DD. Con fecha se genera el PDF; sin ella, viaje futuro.</w:t>
            </w:r>
          </w:p>
        </w:tc>
      </w:tr>
      <w:tr>
        <w:trPr/>
        <w:tc>
          <w:tcPr>
            <w:tcW w:w="3200" w:type="dxa"/>
            <w:noWrap/>
          </w:tcPr>
          <w:p>
            <w:pPr/>
            <w:r>
              <w:rPr>
                <w:rFonts w:ascii="Consolas" w:hAnsi="Consolas" w:eastAsia="Consolas" w:cs="Consolas"/>
                <w:sz w:val="18"/>
                <w:szCs w:val="18"/>
              </w:rPr>
              <w:t xml:space="preserve">matriculaTractora</w:t>
            </w:r>
          </w:p>
        </w:tc>
        <w:tc>
          <w:tcPr>
            <w:tcW w:w="6000" w:type="dxa"/>
            <w:noWrap/>
          </w:tcPr>
          <w:p>
            <w:pPr/>
            <w:r>
              <w:rPr>
                <w:sz w:val="20"/>
                <w:szCs w:val="20"/>
              </w:rPr>
              <w:t xml:space="preserve">Opcional. Puede informarse o eliminarse más adelante.</w:t>
            </w:r>
          </w:p>
        </w:tc>
      </w:tr>
      <w:tr>
        <w:trPr/>
        <w:tc>
          <w:tcPr>
            <w:tcW w:w="3200" w:type="dxa"/>
            <w:noWrap/>
          </w:tcPr>
          <w:p>
            <w:pPr/>
            <w:r>
              <w:rPr>
                <w:rFonts w:ascii="Consolas" w:hAnsi="Consolas" w:eastAsia="Consolas" w:cs="Consolas"/>
                <w:sz w:val="18"/>
                <w:szCs w:val="18"/>
              </w:rPr>
              <w:t xml:space="preserve">matriculaRemolque</w:t>
            </w:r>
          </w:p>
        </w:tc>
        <w:tc>
          <w:tcPr>
            <w:tcW w:w="6000" w:type="dxa"/>
            <w:noWrap/>
          </w:tcPr>
          <w:p>
            <w:pPr/>
            <w:r>
              <w:rPr>
                <w:sz w:val="20"/>
                <w:szCs w:val="20"/>
              </w:rPr>
              <w:t xml:space="preserve">Opcional (conjunto articulado).</w:t>
            </w:r>
          </w:p>
        </w:tc>
      </w:tr>
      <w:tr>
        <w:trPr/>
        <w:tc>
          <w:tcPr>
            <w:tcW w:w="3200" w:type="dxa"/>
            <w:noWrap/>
          </w:tcPr>
          <w:p>
            <w:pPr/>
            <w:r>
              <w:rPr>
                <w:rFonts w:ascii="Consolas" w:hAnsi="Consolas" w:eastAsia="Consolas" w:cs="Consolas"/>
                <w:sz w:val="18"/>
                <w:szCs w:val="18"/>
              </w:rPr>
              <w:t xml:space="preserve">observaciones</w:t>
            </w:r>
          </w:p>
        </w:tc>
        <w:tc>
          <w:tcPr>
            <w:tcW w:w="6000" w:type="dxa"/>
            <w:noWrap/>
          </w:tcPr>
          <w:p>
            <w:pPr/>
            <w:r>
              <w:rPr>
                <w:sz w:val="20"/>
                <w:szCs w:val="20"/>
              </w:rPr>
              <w:t xml:space="preserve">Opcional.</w:t>
            </w:r>
          </w:p>
        </w:tc>
      </w:tr>
      <w:tr>
        <w:trPr/>
        <w:tc>
          <w:tcPr>
            <w:tcW w:w="3200" w:type="dxa"/>
            <w:noWrap/>
          </w:tcPr>
          <w:p>
            <w:pPr/>
            <w:r>
              <w:rPr>
                <w:rFonts w:ascii="Consolas" w:hAnsi="Consolas" w:eastAsia="Consolas" w:cs="Consolas"/>
                <w:sz w:val="18"/>
                <w:szCs w:val="18"/>
              </w:rPr>
              <w:t xml:space="preserve">numAlbaran</w:t>
            </w:r>
          </w:p>
        </w:tc>
        <w:tc>
          <w:tcPr>
            <w:tcW w:w="6000" w:type="dxa"/>
            <w:noWrap/>
          </w:tcPr>
          <w:p>
            <w:pPr/>
            <w:r>
              <w:rPr>
                <w:sz w:val="20"/>
                <w:szCs w:val="20"/>
              </w:rPr>
              <w:t xml:space="preserve">Opcional: nº de albarán. Si se envía, el viaje queda marcado como albaranado.</w:t>
            </w:r>
          </w:p>
        </w:tc>
      </w:tr>
      <w:tr>
        <w:trPr/>
        <w:tc>
          <w:tcPr>
            <w:tcW w:w="3200" w:type="dxa"/>
            <w:noWrap/>
          </w:tcPr>
          <w:p>
            <w:pPr/>
            <w:r>
              <w:rPr>
                <w:rFonts w:ascii="Consolas" w:hAnsi="Consolas" w:eastAsia="Consolas" w:cs="Consolas"/>
                <w:sz w:val="18"/>
                <w:szCs w:val="18"/>
              </w:rPr>
              <w:t xml:space="preserve">origenRegistro / idExterno</w:t>
            </w:r>
          </w:p>
        </w:tc>
        <w:tc>
          <w:tcPr>
            <w:tcW w:w="6000" w:type="dxa"/>
            <w:noWrap/>
          </w:tcPr>
          <w:p>
            <w:pPr/>
            <w:r>
              <w:rPr>
                <w:sz w:val="20"/>
                <w:szCs w:val="20"/>
              </w:rPr>
              <w:t xml:space="preserve">Referencia recomendada para enlazar el documento con el ERP y evitar duplicados.</w:t>
            </w:r>
          </w:p>
        </w:tc>
      </w:tr>
      <w:tr>
        <w:trPr/>
        <w:tc>
          <w:tcPr>
            <w:tcW w:w="3200" w:type="dxa"/>
            <w:noWrap/>
          </w:tcPr>
          <w:p>
            <w:pPr/>
            <w:r>
              <w:rPr>
                <w:rFonts w:ascii="Consolas" w:hAnsi="Consolas" w:eastAsia="Consolas" w:cs="Consolas"/>
                <w:sz w:val="18"/>
                <w:szCs w:val="18"/>
              </w:rPr>
              <w:t xml:space="preserve">modoEdicionTransportista</w:t>
            </w:r>
          </w:p>
        </w:tc>
        <w:tc>
          <w:tcPr>
            <w:tcW w:w="6000" w:type="dxa"/>
            <w:noWrap/>
          </w:tcPr>
          <w:p>
            <w:pPr/>
            <w:r>
              <w:rPr>
                <w:sz w:val="20"/>
                <w:szCs w:val="20"/>
              </w:rPr>
              <w:t xml:space="preserve">operativo: fecha y matrículas. carga: añade descripción, cantidad, unidad y peso de las mercancías.</w:t>
            </w:r>
          </w:p>
        </w:tc>
      </w:tr>
      <w:tr>
        <w:trPr/>
        <w:tc>
          <w:tcPr>
            <w:tcW w:w="3200" w:type="dxa"/>
            <w:noWrap/>
          </w:tcPr>
          <w:p>
            <w:pPr/>
            <w:r>
              <w:rPr>
                <w:rFonts w:ascii="Consolas" w:hAnsi="Consolas" w:eastAsia="Consolas" w:cs="Consolas"/>
                <w:sz w:val="18"/>
                <w:szCs w:val="18"/>
              </w:rPr>
              <w:t xml:space="preserve">diasValidezEnlace</w:t>
            </w:r>
          </w:p>
        </w:tc>
        <w:tc>
          <w:tcPr>
            <w:tcW w:w="6000" w:type="dxa"/>
            <w:noWrap/>
          </w:tcPr>
          <w:p>
            <w:pPr/>
            <w:r>
              <w:rPr>
                <w:sz w:val="20"/>
                <w:szCs w:val="20"/>
              </w:rPr>
              <w:t xml:space="preserve">Validez inicial del enlace privado, entre 1 y 90 días. Valor predeterminado: 30.</w:t>
            </w:r>
          </w:p>
        </w:tc>
      </w:tr>
    </w:tbl>
    <w:p>
      <w:pPr>
        <w:spacing w:after="80"/>
      </w:pPr>
      <w:r>
        <w:rPr/>
        <w:t xml:space="preserve"/>
      </w:r>
    </w:p>
    <w:p>
      <w:pPr>
        <w:pStyle w:val="Heading2"/>
      </w:pPr>
      <w:bookmarkStart w:id="20" w:name="_Toc20"/>
      <w:r>
        <w:t>8.6. Alta incompleta y enlace para el transportista</w:t>
      </w:r>
      <w:bookmarkEnd w:id="20"/>
    </w:p>
    <w:p>
      <w:pPr>
        <w:pStyle w:val="P"/>
      </w:pPr>
      <w:r>
        <w:rPr/>
        <w:t xml:space="preserve">Petición recomendada antes de enviar la orden de transporte:</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curl -X POST https://decaerp.com/api.php \</w:t>
            </w:r>
          </w:p>
          <w:p>
            <w:pPr>
              <w:spacing w:after="0"/>
            </w:pPr>
            <w:r>
              <w:rPr>
                <w:rFonts w:ascii="Consolas" w:hAnsi="Consolas" w:eastAsia="Consolas" w:cs="Consolas"/>
                <w:color w:val="D9E2EC"/>
                <w:sz w:val="17"/>
                <w:szCs w:val="17"/>
              </w:rPr>
              <w:t xml:space="preserve">     -H "Content-Type: application/json; charset=utf-8" \</w:t>
            </w:r>
          </w:p>
          <w:p>
            <w:pPr>
              <w:spacing w:after="0"/>
            </w:pPr>
            <w:r>
              <w:rPr>
                <w:rFonts w:ascii="Consolas" w:hAnsi="Consolas" w:eastAsia="Consolas" w:cs="Consolas"/>
                <w:color w:val="D9E2EC"/>
                <w:sz w:val="17"/>
                <w:szCs w:val="17"/>
              </w:rPr>
              <w:t xml:space="preserve">     -H "X-Api-Key: SU-CLAVE-DE-API" \</w:t>
            </w:r>
          </w:p>
          <w:p>
            <w:pPr>
              <w:spacing w:after="0"/>
            </w:pPr>
            <w:r>
              <w:rPr>
                <w:rFonts w:ascii="Consolas" w:hAnsi="Consolas" w:eastAsia="Consolas" w:cs="Consolas"/>
                <w:color w:val="D9E2EC"/>
                <w:sz w:val="17"/>
                <w:szCs w:val="17"/>
              </w:rPr>
              <w:t xml:space="preserve">     -d '{</w:t>
            </w:r>
          </w:p>
          <w:p>
            <w:pPr>
              <w:spacing w:after="0"/>
            </w:pPr>
            <w:r>
              <w:rPr>
                <w:rFonts w:ascii="Consolas" w:hAnsi="Consolas" w:eastAsia="Consolas" w:cs="Consolas"/>
                <w:color w:val="D9E2EC"/>
                <w:sz w:val="17"/>
                <w:szCs w:val="17"/>
              </w:rPr>
              <w:t xml:space="preserve">       "accion":             "crear",</w:t>
            </w:r>
          </w:p>
          <w:p>
            <w:pPr>
              <w:spacing w:after="0"/>
            </w:pPr>
            <w:r>
              <w:rPr>
                <w:rFonts w:ascii="Consolas" w:hAnsi="Consolas" w:eastAsia="Consolas" w:cs="Consolas"/>
                <w:color w:val="D9E2EC"/>
                <w:sz w:val="17"/>
                <w:szCs w:val="17"/>
              </w:rPr>
              <w:t xml:space="preserve">       "cargadorNombre":    "Harinas Leonesas SL",</w:t>
            </w:r>
          </w:p>
          <w:p>
            <w:pPr>
              <w:spacing w:after="0"/>
            </w:pPr>
            <w:r>
              <w:rPr>
                <w:rFonts w:ascii="Consolas" w:hAnsi="Consolas" w:eastAsia="Consolas" w:cs="Consolas"/>
                <w:color w:val="D9E2EC"/>
                <w:sz w:val="17"/>
                <w:szCs w:val="17"/>
              </w:rPr>
              <w:t xml:space="preserve">       "cargadorNif":       "B24010101",</w:t>
            </w:r>
          </w:p>
          <w:p>
            <w:pPr>
              <w:spacing w:after="0"/>
            </w:pPr>
            <w:r>
              <w:rPr>
                <w:rFonts w:ascii="Consolas" w:hAnsi="Consolas" w:eastAsia="Consolas" w:cs="Consolas"/>
                <w:color w:val="D9E2EC"/>
                <w:sz w:val="17"/>
                <w:szCs w:val="17"/>
              </w:rPr>
              <w:t xml:space="preserve">       "cargadorDomicilio": "Pol. Ind. de Trobajo, nave 12, León",</w:t>
            </w:r>
          </w:p>
          <w:p>
            <w:pPr>
              <w:spacing w:after="0"/>
            </w:pPr>
            <w:r>
              <w:rPr>
                <w:rFonts w:ascii="Consolas" w:hAnsi="Consolas" w:eastAsia="Consolas" w:cs="Consolas"/>
                <w:color w:val="D9E2EC"/>
                <w:sz w:val="17"/>
                <w:szCs w:val="17"/>
              </w:rPr>
              <w:t xml:space="preserve">       "origen":            "León",</w:t>
            </w:r>
          </w:p>
          <w:p>
            <w:pPr>
              <w:spacing w:after="0"/>
            </w:pPr>
            <w:r>
              <w:rPr>
                <w:rFonts w:ascii="Consolas" w:hAnsi="Consolas" w:eastAsia="Consolas" w:cs="Consolas"/>
                <w:color w:val="D9E2EC"/>
                <w:sz w:val="17"/>
                <w:szCs w:val="17"/>
              </w:rPr>
              <w:t xml:space="preserve">       "destino":           "Valladolid",</w:t>
            </w:r>
          </w:p>
          <w:p>
            <w:pPr>
              <w:spacing w:after="0"/>
            </w:pPr>
            <w:r>
              <w:rPr>
                <w:rFonts w:ascii="Consolas" w:hAnsi="Consolas" w:eastAsia="Consolas" w:cs="Consolas"/>
                <w:color w:val="D9E2EC"/>
                <w:sz w:val="17"/>
                <w:szCs w:val="17"/>
              </w:rPr>
              <w:t xml:space="preserve">       "origenRegistro":    "ERP_CLIENTE",</w:t>
            </w:r>
          </w:p>
          <w:p>
            <w:pPr>
              <w:spacing w:after="0"/>
            </w:pPr>
            <w:r>
              <w:rPr>
                <w:rFonts w:ascii="Consolas" w:hAnsi="Consolas" w:eastAsia="Consolas" w:cs="Consolas"/>
                <w:color w:val="D9E2EC"/>
                <w:sz w:val="17"/>
                <w:szCs w:val="17"/>
              </w:rPr>
              <w:t xml:space="preserve">       "idExterno":         "EXP-2026-00158",</w:t>
            </w:r>
          </w:p>
          <w:p>
            <w:pPr>
              <w:spacing w:after="0"/>
            </w:pPr>
            <w:r>
              <w:rPr>
                <w:rFonts w:ascii="Consolas" w:hAnsi="Consolas" w:eastAsia="Consolas" w:cs="Consolas"/>
                <w:color w:val="D9E2EC"/>
                <w:sz w:val="17"/>
                <w:szCs w:val="17"/>
              </w:rPr>
              <w:t xml:space="preserve">       "modoEdicionTransportista": "carga",</w:t>
            </w:r>
          </w:p>
          <w:p>
            <w:pPr>
              <w:spacing w:after="0"/>
            </w:pPr>
            <w:r>
              <w:rPr>
                <w:rFonts w:ascii="Consolas" w:hAnsi="Consolas" w:eastAsia="Consolas" w:cs="Consolas"/>
                <w:color w:val="D9E2EC"/>
                <w:sz w:val="17"/>
                <w:szCs w:val="17"/>
              </w:rPr>
              <w:t xml:space="preserve">       "diasValidezEnlace": 30,</w:t>
            </w:r>
          </w:p>
          <w:p>
            <w:pPr>
              <w:spacing w:after="0"/>
            </w:pPr>
            <w:r>
              <w:rPr>
                <w:rFonts w:ascii="Consolas" w:hAnsi="Consolas" w:eastAsia="Consolas" w:cs="Consolas"/>
                <w:color w:val="D9E2EC"/>
                <w:sz w:val="17"/>
                <w:szCs w:val="17"/>
              </w:rPr>
              <w:t xml:space="preserve">       "lineas": [</w:t>
            </w:r>
          </w:p>
          <w:p>
            <w:pPr>
              <w:spacing w:after="0"/>
            </w:pPr>
            <w:r>
              <w:rPr>
                <w:rFonts w:ascii="Consolas" w:hAnsi="Consolas" w:eastAsia="Consolas" w:cs="Consolas"/>
                <w:color w:val="D9E2EC"/>
                <w:sz w:val="17"/>
                <w:szCs w:val="17"/>
              </w:rPr>
              <w:t xml:space="preserve">         { "descripcion": "Harina paletizada",</w:t>
            </w:r>
          </w:p>
          <w:p>
            <w:pPr>
              <w:spacing w:after="0"/>
            </w:pPr>
            <w:r>
              <w:rPr>
                <w:rFonts w:ascii="Consolas" w:hAnsi="Consolas" w:eastAsia="Consolas" w:cs="Consolas"/>
                <w:color w:val="D9E2EC"/>
                <w:sz w:val="17"/>
                <w:szCs w:val="17"/>
              </w:rPr>
              <w:t xml:space="preserve">           "cantidad": 40, "unidad": "sacos", "pesoKg": 1000 }</w:t>
            </w:r>
          </w:p>
          <w:p>
            <w:pPr>
              <w:spacing w:after="0"/>
            </w:pPr>
            <w:r>
              <w:rPr>
                <w:rFonts w:ascii="Consolas" w:hAnsi="Consolas" w:eastAsia="Consolas" w:cs="Consolas"/>
                <w:color w:val="D9E2EC"/>
                <w:sz w:val="17"/>
                <w:szCs w:val="17"/>
              </w:rPr>
              <w:t xml:space="preserve">       ]</w:t>
            </w:r>
          </w:p>
          <w:p>
            <w:pPr>
              <w:spacing w:after="0"/>
            </w:pPr>
            <w:r>
              <w:rPr>
                <w:rFonts w:ascii="Consolas" w:hAnsi="Consolas" w:eastAsia="Consolas" w:cs="Consolas"/>
                <w:color w:val="D9E2EC"/>
                <w:sz w:val="17"/>
                <w:szCs w:val="17"/>
              </w:rPr>
              <w:t xml:space="preserve">     }'</w:t>
            </w:r>
          </w:p>
        </w:tc>
      </w:tr>
    </w:tbl>
    <w:p>
      <w:pPr>
        <w:spacing w:after="60"/>
      </w:pPr>
      <w:r>
        <w:rPr/>
        <w:t xml:space="preserve"/>
      </w:r>
    </w:p>
    <w:p>
      <w:pPr>
        <w:keepNext w:val="1"/>
        <w:spacing w:after="110" w:line="268.8" w:lineRule="auto"/>
      </w:pPr>
      <w:r>
        <w:rPr/>
        <w:t xml:space="preserve">Respuesta inmediata: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w:t>
            </w:r>
          </w:p>
          <w:p>
            <w:pPr>
              <w:spacing w:after="0"/>
            </w:pPr>
            <w:r>
              <w:rPr>
                <w:rFonts w:ascii="Consolas" w:hAnsi="Consolas" w:eastAsia="Consolas" w:cs="Consolas"/>
                <w:color w:val="D9E2EC"/>
                <w:sz w:val="17"/>
                <w:szCs w:val="17"/>
              </w:rPr>
              <w:t xml:space="preserve">  "ok":     true,</w:t>
            </w:r>
          </w:p>
          <w:p>
            <w:pPr>
              <w:spacing w:after="0"/>
            </w:pPr>
            <w:r>
              <w:rPr>
                <w:rFonts w:ascii="Consolas" w:hAnsi="Consolas" w:eastAsia="Consolas" w:cs="Consolas"/>
                <w:color w:val="D9E2EC"/>
                <w:sz w:val="17"/>
                <w:szCs w:val="17"/>
              </w:rPr>
              <w:t xml:space="preserve">  "idDeca": 8,</w:t>
            </w:r>
          </w:p>
          <w:p>
            <w:pPr>
              <w:spacing w:after="0"/>
            </w:pPr>
            <w:r>
              <w:rPr>
                <w:rFonts w:ascii="Consolas" w:hAnsi="Consolas" w:eastAsia="Consolas" w:cs="Consolas"/>
                <w:color w:val="D9E2EC"/>
                <w:sz w:val="17"/>
                <w:szCs w:val="17"/>
              </w:rPr>
              <w:t xml:space="preserve">  "urlEdicion": "https://decaerp.com/completar_matriculas.php?t=...",</w:t>
            </w:r>
          </w:p>
          <w:p>
            <w:pPr>
              <w:spacing w:after="0"/>
            </w:pPr>
            <w:r>
              <w:rPr>
                <w:rFonts w:ascii="Consolas" w:hAnsi="Consolas" w:eastAsia="Consolas" w:cs="Consolas"/>
                <w:color w:val="D9E2EC"/>
                <w:sz w:val="17"/>
                <w:szCs w:val="17"/>
              </w:rPr>
              <w:t xml:space="preserve">  "modoEdicionTransportista": "carga",</w:t>
            </w:r>
          </w:p>
          <w:p>
            <w:pPr>
              <w:spacing w:after="0"/>
            </w:pPr>
            <w:r>
              <w:rPr>
                <w:rFonts w:ascii="Consolas" w:hAnsi="Consolas" w:eastAsia="Consolas" w:cs="Consolas"/>
                <w:color w:val="D9E2EC"/>
                <w:sz w:val="17"/>
                <w:szCs w:val="17"/>
              </w:rPr>
              <w:t xml:space="preserve">  "estadoCumplimentacion": "no_iniciado",</w:t>
            </w:r>
          </w:p>
          <w:p>
            <w:pPr>
              <w:spacing w:after="0"/>
            </w:pPr>
            <w:r>
              <w:rPr>
                <w:rFonts w:ascii="Consolas" w:hAnsi="Consolas" w:eastAsia="Consolas" w:cs="Consolas"/>
                <w:color w:val="D9E2EC"/>
                <w:sz w:val="17"/>
                <w:szCs w:val="17"/>
              </w:rPr>
              <w:t xml:space="preserve">  "urlDocumento": null,</w:t>
            </w:r>
          </w:p>
          <w:p>
            <w:pPr>
              <w:spacing w:after="0"/>
            </w:pPr>
            <w:r>
              <w:rPr>
                <w:rFonts w:ascii="Consolas" w:hAnsi="Consolas" w:eastAsia="Consolas" w:cs="Consolas"/>
                <w:color w:val="D9E2EC"/>
                <w:sz w:val="17"/>
                <w:szCs w:val="17"/>
              </w:rPr>
              <w:t xml:space="preserve">  "urlDescargaPdf": null,</w:t>
            </w:r>
          </w:p>
          <w:p>
            <w:pPr>
              <w:spacing w:after="0"/>
            </w:pPr>
            <w:r>
              <w:rPr>
                <w:rFonts w:ascii="Consolas" w:hAnsi="Consolas" w:eastAsia="Consolas" w:cs="Consolas"/>
                <w:color w:val="D9E2EC"/>
                <w:sz w:val="17"/>
                <w:szCs w:val="17"/>
              </w:rPr>
              <w:t xml:space="preserve">  "pdfDisponible": false</w:t>
            </w:r>
          </w:p>
          <w:p>
            <w:pPr>
              <w:spacing w:after="0"/>
            </w:pPr>
            <w:r>
              <w:rPr>
                <w:rFonts w:ascii="Consolas" w:hAnsi="Consolas" w:eastAsia="Consolas" w:cs="Consolas"/>
                <w:color w:val="D9E2EC"/>
                <w:sz w:val="17"/>
                <w:szCs w:val="17"/>
              </w:rPr>
              <w:t xml:space="preserve">}</w:t>
            </w:r>
          </w:p>
        </w:tc>
      </w:tr>
    </w:tbl>
    <w:p>
      <w:pPr>
        <w:spacing w:after="60"/>
      </w:pPr>
      <w:r>
        <w:rPr/>
        <w:t xml:space="preserve"/>
      </w:r>
    </w:p>
    <w:p>
      <w:pPr>
        <w:pStyle w:val="P"/>
      </w:pPr>
      <w:r>
        <w:rPr/>
        <w:t xml:space="preserve">El ERP incluye urlEdicion en la orden. El transportista puede guardar un borrador y pulsar Finalizar. El modo operativo autoriza solo fecha y matrículas; el modo carga añade descripción, cantidad o bultos, unidad y peso. Nunca permite cambiar empresas, NIF, recorridos ni estados administrativos.</w:t>
      </w:r>
    </w:p>
    <w:p>
      <w:pPr>
        <w:pStyle w:val="P"/>
        <w:numPr>
          <w:ilvl w:val="0"/>
          <w:numId w:val="6"/>
        </w:numPr>
      </w:pPr>
      <w:r>
        <w:rPr/>
        <w:t xml:space="preserve">no_iniciado: el enlace existe, pero aún no se han guardado datos.</w:t>
      </w:r>
    </w:p>
    <w:p>
      <w:pPr>
        <w:pStyle w:val="P"/>
        <w:numPr>
          <w:ilvl w:val="0"/>
          <w:numId w:val="6"/>
        </w:numPr>
      </w:pPr>
      <w:r>
        <w:rPr/>
        <w:t xml:space="preserve">pendiente: existe un borrador del transportista.</w:t>
      </w:r>
    </w:p>
    <w:p>
      <w:pPr>
        <w:pStyle w:val="P"/>
        <w:numPr>
          <w:ilvl w:val="0"/>
          <w:numId w:val="6"/>
        </w:numPr>
      </w:pPr>
      <w:r>
        <w:rPr/>
        <w:t xml:space="preserve">completado: el transportista ha finalizado y queda registrada la fecha de finalización.</w:t>
      </w:r>
    </w:p>
    <w:p>
      <w:pPr>
        <w:pStyle w:val="Nota"/>
      </w:pPr>
      <w:r>
        <w:rPr>
          <w:color w:val="5B6773"/>
          <w:sz w:val="20"/>
          <w:szCs w:val="20"/>
          <w:i w:val="1"/>
          <w:iCs w:val="1"/>
        </w:rPr>
        <w:t xml:space="preserve">ℹ Los permisos se guardan en el servidor mediante una llamada autenticada. No se activan añadiendo parámetros a la URL privada.</w:t>
      </w:r>
    </w:p>
    <w:p>
      <w:pPr>
        <w:pStyle w:val="Heading2"/>
      </w:pPr>
      <w:bookmarkStart w:id="21" w:name="_Toc21"/>
      <w:r>
        <w:t>8.7. Actualizar, consultar, buscar y listar</w:t>
      </w:r>
      <w:bookmarkEnd w:id="21"/>
    </w:p>
    <w:p>
      <w:pPr>
        <w:pStyle w:val="P"/>
      </w:pPr>
      <w:r>
        <w:rPr/>
        <w:t xml:space="preserve">Actualizar conserva todos los campos que no se envían. Si se incluye lineas, se reemplazan todas las líneas anteriores. Para asignar fecha a un viaje no planificado:</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 "accion": "actualizar", "id": 125,</w:t>
            </w:r>
          </w:p>
          <w:p>
            <w:pPr>
              <w:spacing w:after="0"/>
            </w:pPr>
            <w:r>
              <w:rPr>
                <w:rFonts w:ascii="Consolas" w:hAnsi="Consolas" w:eastAsia="Consolas" w:cs="Consolas"/>
                <w:color w:val="D9E2EC"/>
                <w:sz w:val="17"/>
                <w:szCs w:val="17"/>
              </w:rPr>
              <w:t xml:space="preserve">  "fechaTransporte": "2026-08-21",</w:t>
            </w:r>
          </w:p>
          <w:p>
            <w:pPr>
              <w:spacing w:after="0"/>
            </w:pPr>
            <w:r>
              <w:rPr>
                <w:rFonts w:ascii="Consolas" w:hAnsi="Consolas" w:eastAsia="Consolas" w:cs="Consolas"/>
                <w:color w:val="D9E2EC"/>
                <w:sz w:val="17"/>
                <w:szCs w:val="17"/>
              </w:rPr>
              <w:t xml:space="preserve">  "matriculaTractora": "7350-LPD",</w:t>
            </w:r>
          </w:p>
          <w:p>
            <w:pPr>
              <w:spacing w:after="0"/>
            </w:pPr>
            <w:r>
              <w:rPr>
                <w:rFonts w:ascii="Consolas" w:hAnsi="Consolas" w:eastAsia="Consolas" w:cs="Consolas"/>
                <w:color w:val="D9E2EC"/>
                <w:sz w:val="17"/>
                <w:szCs w:val="17"/>
              </w:rPr>
              <w:t xml:space="preserve">  "lineas": [</w:t>
            </w:r>
          </w:p>
          <w:p>
            <w:pPr>
              <w:spacing w:after="0"/>
            </w:pPr>
            <w:r>
              <w:rPr>
                <w:rFonts w:ascii="Consolas" w:hAnsi="Consolas" w:eastAsia="Consolas" w:cs="Consolas"/>
                <w:color w:val="D9E2EC"/>
                <w:sz w:val="17"/>
                <w:szCs w:val="17"/>
              </w:rPr>
              <w:t xml:space="preserve">    { "descripcion": "Azulejo paletizado",</w:t>
            </w:r>
          </w:p>
          <w:p>
            <w:pPr>
              <w:spacing w:after="0"/>
            </w:pPr>
            <w:r>
              <w:rPr>
                <w:rFonts w:ascii="Consolas" w:hAnsi="Consolas" w:eastAsia="Consolas" w:cs="Consolas"/>
                <w:color w:val="D9E2EC"/>
                <w:sz w:val="17"/>
                <w:szCs w:val="17"/>
              </w:rPr>
              <w:t xml:space="preserve">      "cantidad": 18, "unidad": "palets", "pesoKg": 12600 }</w:t>
            </w:r>
          </w:p>
          <w:p>
            <w:pPr>
              <w:spacing w:after="0"/>
            </w:pPr>
            <w:r>
              <w:rPr>
                <w:rFonts w:ascii="Consolas" w:hAnsi="Consolas" w:eastAsia="Consolas" w:cs="Consolas"/>
                <w:color w:val="D9E2EC"/>
                <w:sz w:val="17"/>
                <w:szCs w:val="17"/>
              </w:rPr>
              <w:t xml:space="preserve">  ] }</w:t>
            </w:r>
          </w:p>
        </w:tc>
      </w:tr>
    </w:tbl>
    <w:p>
      <w:pPr>
        <w:spacing w:after="60"/>
      </w:pPr>
      <w:r>
        <w:rPr/>
        <w:t xml:space="preserve"/>
      </w:r>
    </w:p>
    <w:p>
      <w:pPr>
        <w:pStyle w:val="P"/>
      </w:pPr>
      <w:r>
        <w:rPr/>
        <w:t xml:space="preserve">Consultas GET más habituales:</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/api.php?accion=consultar&amp;id=125</w:t>
            </w:r>
          </w:p>
          <w:p>
            <w:pPr>
              <w:spacing w:after="0"/>
            </w:pPr>
            <w:r>
              <w:rPr>
                <w:rFonts w:ascii="Consolas" w:hAnsi="Consolas" w:eastAsia="Consolas" w:cs="Consolas"/>
                <w:color w:val="D9E2EC"/>
                <w:sz w:val="17"/>
                <w:szCs w:val="17"/>
              </w:rPr>
              <w:t xml:space="preserve">GET /api.php?accion=enlace_edicion&amp;id=125&amp;modoEdicionTransportista=carga</w:t>
            </w:r>
          </w:p>
          <w:p>
            <w:pPr>
              <w:spacing w:after="0"/>
            </w:pPr>
            <w:r>
              <w:rPr>
                <w:rFonts w:ascii="Consolas" w:hAnsi="Consolas" w:eastAsia="Consolas" w:cs="Consolas"/>
                <w:color w:val="D9E2EC"/>
                <w:sz w:val="17"/>
                <w:szCs w:val="17"/>
              </w:rPr>
              <w:t xml:space="preserve">GET /api.php?accion=buscar&amp;origen=ERP_CLIENTE&amp;idExterno=EXP-2026-00158</w:t>
            </w:r>
          </w:p>
          <w:p>
            <w:pPr>
              <w:spacing w:after="0"/>
            </w:pPr>
            <w:r>
              <w:rPr>
                <w:rFonts w:ascii="Consolas" w:hAnsi="Consolas" w:eastAsia="Consolas" w:cs="Consolas"/>
                <w:color w:val="D9E2EC"/>
                <w:sz w:val="17"/>
                <w:szCs w:val="17"/>
              </w:rPr>
              <w:t xml:space="preserve">GET /api.php?accion=listar&amp;limit=100&amp;offset=0</w:t>
            </w:r>
          </w:p>
          <w:p>
            <w:pPr>
              <w:spacing w:after="0"/>
            </w:pPr>
            <w:r>
              <w:rPr>
                <w:rFonts w:ascii="Consolas" w:hAnsi="Consolas" w:eastAsia="Consolas" w:cs="Consolas"/>
                <w:color w:val="D9E2EC"/>
                <w:sz w:val="17"/>
                <w:szCs w:val="17"/>
              </w:rPr>
              <w:t xml:space="preserve">GET /api.php?accion=listar&amp;fechaCampo=creacion&amp;fechaDesde=2026-08-01</w:t>
            </w:r>
          </w:p>
          <w:p>
            <w:pPr>
              <w:spacing w:after="0"/>
            </w:pPr>
            <w:r>
              <w:rPr>
                <w:rFonts w:ascii="Consolas" w:hAnsi="Consolas" w:eastAsia="Consolas" w:cs="Consolas"/>
                <w:color w:val="D9E2EC"/>
                <w:sz w:val="17"/>
                <w:szCs w:val="17"/>
              </w:rPr>
              <w:t xml:space="preserve">GET /api.php?accion=listar&amp;noPlanificados=1&amp;fechaCampo=creacion</w:t>
            </w:r>
          </w:p>
          <w:p>
            <w:pPr>
              <w:spacing w:after="0"/>
            </w:pPr>
            <w:r>
              <w:rPr>
                <w:rFonts w:ascii="Consolas" w:hAnsi="Consolas" w:eastAsia="Consolas" w:cs="Consolas"/>
                <w:color w:val="D9E2EC"/>
                <w:sz w:val="17"/>
                <w:szCs w:val="17"/>
              </w:rPr>
              <w:t xml:space="preserve"/>
            </w:r>
          </w:p>
          <w:p>
            <w:pPr>
              <w:spacing w:after="0"/>
            </w:pPr>
            <w:r>
              <w:rPr>
                <w:rFonts w:ascii="Consolas" w:hAnsi="Consolas" w:eastAsia="Consolas" w:cs="Consolas"/>
                <w:color w:val="D9E2EC"/>
                <w:sz w:val="17"/>
                <w:szCs w:val="17"/>
              </w:rPr>
              <w:t xml:space="preserve">En todas: X-Api-Key: SU-CLAVE-DE-API</w:t>
            </w:r>
          </w:p>
        </w:tc>
      </w:tr>
    </w:tbl>
    <w:p>
      <w:pPr>
        <w:spacing w:after="60"/>
      </w:pPr>
      <w:r>
        <w:rPr/>
        <w:t xml:space="preserve"/>
      </w:r>
    </w:p>
    <w:p>
      <w:pPr>
        <w:pStyle w:val="P"/>
        <w:numPr>
          <w:ilvl w:val="0"/>
          <w:numId w:val="6"/>
        </w:numPr>
      </w:pPr>
      <w:r>
        <w:rPr/>
        <w:t xml:space="preserve">fechaCampo admite creacion, modificacion, registro o transporte.</w:t>
      </w:r>
    </w:p>
    <w:p>
      <w:pPr>
        <w:pStyle w:val="P"/>
        <w:numPr>
          <w:ilvl w:val="0"/>
          <w:numId w:val="6"/>
        </w:numPr>
      </w:pPr>
      <w:r>
        <w:rPr/>
        <w:t xml:space="preserve">fechaDesde y fechaHasta son opcionales e independientes; fechaHasta es inclusiva.</w:t>
      </w:r>
    </w:p>
    <w:p>
      <w:pPr>
        <w:pStyle w:val="P"/>
        <w:numPr>
          <w:ilvl w:val="0"/>
          <w:numId w:val="6"/>
        </w:numPr>
      </w:pPr>
      <w:r>
        <w:rPr/>
        <w:t xml:space="preserve">No combine noPlanificados=1 con fechaCampo=transporte: esos viajes no tienen fecha de viaje.</w:t>
      </w:r>
    </w:p>
    <w:p>
      <w:pPr>
        <w:pStyle w:val="P"/>
        <w:numPr>
          <w:ilvl w:val="0"/>
          <w:numId w:val="6"/>
        </w:numPr>
      </w:pPr>
      <w:r>
        <w:rPr/>
        <w:t xml:space="preserve">limit admite de 1 a 500. Continúe aumentando offset hasta recuperar total registros.</w:t>
      </w:r>
    </w:p>
    <w:p>
      <w:pPr>
        <w:pStyle w:val="P"/>
        <w:numPr>
          <w:ilvl w:val="0"/>
          <w:numId w:val="6"/>
        </w:numPr>
      </w:pPr>
      <w:r>
        <w:rPr/>
        <w:t xml:space="preserve">La consulta devuelve estadoCumplimentacion, fechaUltimoGuardado, fechaFinalizacion, urlDocumento y urlDescargaPdf.</w:t>
      </w:r>
    </w:p>
    <w:p>
      <w:pPr>
        <w:pStyle w:val="P"/>
        <w:numPr>
          <w:ilvl w:val="0"/>
          <w:numId w:val="6"/>
        </w:numPr>
      </w:pPr>
      <w:r>
        <w:rPr/>
        <w:t xml:space="preserve">enlace_edicion devuelve el mismo enlace activo; no crea tokens distintos en cada consulta.</w:t>
      </w:r>
    </w:p>
    <w:p>
      <w:pPr>
        <w:pStyle w:val="Heading2"/>
      </w:pPr>
      <w:bookmarkStart w:id="22" w:name="_Toc22"/>
      <w:r>
        <w:t>8.8. Historial y versiones anteriores</w:t>
      </w:r>
      <w:bookmarkEnd w:id="22"/>
    </w:p>
    <w:p>
      <w:pPr>
        <w:pStyle w:val="P"/>
      </w:pPr>
      <w:r>
        <w:rPr/>
        <w:t xml:space="preserve">Cada PDF generado se conserva como una versión inmutable. La URL pública permanece estable y muestra la versión vigente. Las versiones anteriores solo se descargan mediante un usuario autorizado o la clave API de la empresa.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/api_versiones.php?id=125</w:t>
            </w:r>
          </w:p>
          <w:p>
            <w:pPr>
              <w:spacing w:after="0"/>
            </w:pPr>
            <w:r>
              <w:rPr>
                <w:rFonts w:ascii="Consolas" w:hAnsi="Consolas" w:eastAsia="Consolas" w:cs="Consolas"/>
                <w:color w:val="D9E2EC"/>
                <w:sz w:val="17"/>
                <w:szCs w:val="17"/>
              </w:rPr>
              <w:t xml:space="preserve">GET /api_versiones.php?id=125&amp;incluirDetalle=1</w:t>
            </w:r>
          </w:p>
          <w:p>
            <w:pPr>
              <w:spacing w:after="0"/>
            </w:pPr>
            <w:r>
              <w:rPr>
                <w:rFonts w:ascii="Consolas" w:hAnsi="Consolas" w:eastAsia="Consolas" w:cs="Consolas"/>
                <w:color w:val="D9E2EC"/>
                <w:sz w:val="17"/>
                <w:szCs w:val="17"/>
              </w:rPr>
              <w:t xml:space="preserve">GET /api_versiones.php?id=125&amp;version=2</w:t>
            </w:r>
          </w:p>
          <w:p>
            <w:pPr>
              <w:spacing w:after="0"/>
            </w:pPr>
            <w:r>
              <w:rPr>
                <w:rFonts w:ascii="Consolas" w:hAnsi="Consolas" w:eastAsia="Consolas" w:cs="Consolas"/>
                <w:color w:val="D9E2EC"/>
                <w:sz w:val="17"/>
                <w:szCs w:val="17"/>
              </w:rPr>
              <w:t xml:space="preserve">GET /api_versiones.php?id=125&amp;actual=1</w:t>
            </w:r>
          </w:p>
          <w:p>
            <w:pPr>
              <w:spacing w:after="0"/>
            </w:pPr>
            <w:r>
              <w:rPr>
                <w:rFonts w:ascii="Consolas" w:hAnsi="Consolas" w:eastAsia="Consolas" w:cs="Consolas"/>
                <w:color w:val="D9E2EC"/>
                <w:sz w:val="17"/>
                <w:szCs w:val="17"/>
              </w:rPr>
              <w:t xml:space="preserve"/>
            </w:r>
          </w:p>
          <w:p>
            <w:pPr>
              <w:spacing w:after="0"/>
            </w:pPr>
            <w:r>
              <w:rPr>
                <w:rFonts w:ascii="Consolas" w:hAnsi="Consolas" w:eastAsia="Consolas" w:cs="Consolas"/>
                <w:color w:val="D9E2EC"/>
                <w:sz w:val="17"/>
                <w:szCs w:val="17"/>
              </w:rPr>
              <w:t xml:space="preserve">En todas: X-Api-Key: SU-CLAVE-DE-API</w:t>
            </w:r>
          </w:p>
        </w:tc>
      </w:tr>
    </w:tbl>
    <w:p>
      <w:pPr>
        <w:spacing w:after="60"/>
      </w:pPr>
      <w:r>
        <w:rPr/>
        <w:t xml:space="preserve"/>
      </w:r>
    </w:p>
    <w:p>
      <w:pPr>
        <w:pStyle w:val="P"/>
        <w:numPr>
          <w:ilvl w:val="0"/>
          <w:numId w:val="6"/>
        </w:numPr>
      </w:pPr>
      <w:r>
        <w:rPr/>
        <w:t xml:space="preserve">La primera llamada devuelve versiones, fechas, tamaños y el registro de cambios.</w:t>
      </w:r>
    </w:p>
    <w:p>
      <w:pPr>
        <w:pStyle w:val="P"/>
        <w:numPr>
          <w:ilvl w:val="0"/>
          <w:numId w:val="6"/>
        </w:numPr>
      </w:pPr>
      <w:r>
        <w:rPr/>
        <w:t xml:space="preserve">incluirDetalle=1 añade las instantáneas anterior y posterior de cada modificación.</w:t>
      </w:r>
    </w:p>
    <w:p>
      <w:pPr>
        <w:pStyle w:val="P"/>
        <w:numPr>
          <w:ilvl w:val="0"/>
          <w:numId w:val="6"/>
        </w:numPr>
      </w:pPr>
      <w:r>
        <w:rPr/>
        <w:t xml:space="preserve">La vista web detalla los cambios de cada envío y línea: descripción, cantidad, unidad y peso, además de origen, destino y referencia.</w:t>
      </w:r>
    </w:p>
    <w:p>
      <w:pPr>
        <w:pStyle w:val="P"/>
        <w:numPr>
          <w:ilvl w:val="0"/>
          <w:numId w:val="6"/>
        </w:numPr>
      </w:pPr>
      <w:r>
        <w:rPr/>
        <w:t xml:space="preserve">version=N devuelve directamente el PDF histórico solicitado. La URL requiere la cabecera de autenticación.</w:t>
      </w:r>
    </w:p>
    <w:p>
      <w:pPr>
        <w:pStyle w:val="P"/>
        <w:numPr>
          <w:ilvl w:val="0"/>
          <w:numId w:val="6"/>
        </w:numPr>
      </w:pPr>
      <w:r>
        <w:rPr/>
        <w:t xml:space="preserve">actual=1 descarga directamente el PDF vigente para almacenarlo en el ERP.</w:t>
      </w:r>
    </w:p>
    <w:p>
      <w:pPr>
        <w:pStyle w:val="Heading2"/>
      </w:pPr>
      <w:bookmarkStart w:id="23" w:name="_Toc23"/>
      <w:r>
        <w:t>8.9. Repartos y rutas multipunto</w:t>
      </w:r>
      <w:bookmarkEnd w:id="23"/>
    </w:p>
    <w:p>
      <w:pPr>
        <w:pStyle w:val="P"/>
      </w:pPr>
      <w:r>
        <w:rPr/>
        <w:t xml:space="preserve">La API histórica /api.php se mantiene para documentos de un solo envío. Cuando un viaje agrupa varias recogidas o entregas, use /api_repartos.php. Los datos comunes se envían una vez y cada elemento de envios contiene su origen, destino, referencia, observaciones y líneas de mercancía.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/api_repartos.php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 "accion": "crear", "fechaTransporte": "2026-08-24",</w:t>
            </w:r>
          </w:p>
          <w:p>
            <w:pPr>
              <w:spacing w:after="0"/>
            </w:pPr>
            <w:r>
              <w:rPr>
                <w:rFonts w:ascii="Consolas" w:hAnsi="Consolas" w:eastAsia="Consolas" w:cs="Consolas"/>
                <w:color w:val="D9E2EC"/>
                <w:sz w:val="17"/>
                <w:szCs w:val="17"/>
              </w:rPr>
              <w:t xml:space="preserve">  "cargadorNombre": "Distribuciones Centro SL",</w:t>
            </w:r>
          </w:p>
          <w:p>
            <w:pPr>
              <w:spacing w:after="0"/>
            </w:pPr>
            <w:r>
              <w:rPr>
                <w:rFonts w:ascii="Consolas" w:hAnsi="Consolas" w:eastAsia="Consolas" w:cs="Consolas"/>
                <w:color w:val="D9E2EC"/>
                <w:sz w:val="17"/>
                <w:szCs w:val="17"/>
              </w:rPr>
              <w:t xml:space="preserve">  "cargadorNif": "B28030303", "cargadorDomicilio": "Madrid",</w:t>
            </w:r>
          </w:p>
          <w:p>
            <w:pPr>
              <w:spacing w:after="0"/>
            </w:pPr>
            <w:r>
              <w:rPr>
                <w:rFonts w:ascii="Consolas" w:hAnsi="Consolas" w:eastAsia="Consolas" w:cs="Consolas"/>
                <w:color w:val="D9E2EC"/>
                <w:sz w:val="17"/>
                <w:szCs w:val="17"/>
              </w:rPr>
              <w:t xml:space="preserve">  "envios": [</w:t>
            </w:r>
          </w:p>
          <w:p>
            <w:pPr>
              <w:spacing w:after="0"/>
            </w:pPr>
            <w:r>
              <w:rPr>
                <w:rFonts w:ascii="Consolas" w:hAnsi="Consolas" w:eastAsia="Consolas" w:cs="Consolas"/>
                <w:color w:val="D9E2EC"/>
                <w:sz w:val="17"/>
                <w:szCs w:val="17"/>
              </w:rPr>
              <w:t xml:space="preserve">    { "referencia": "PED-4501", "idLugarOrigen": 18, "destino": "Toledo",</w:t>
            </w:r>
          </w:p>
          <w:p>
            <w:pPr>
              <w:spacing w:after="0"/>
            </w:pPr>
            <w:r>
              <w:rPr>
                <w:rFonts w:ascii="Consolas" w:hAnsi="Consolas" w:eastAsia="Consolas" w:cs="Consolas"/>
                <w:color w:val="D9E2EC"/>
                <w:sz w:val="17"/>
                <w:szCs w:val="17"/>
              </w:rPr>
              <w:t xml:space="preserve">      "lineas": [{ "descripcion": "Conservas", "pesoKg": 520 }] },</w:t>
            </w:r>
          </w:p>
          <w:p>
            <w:pPr>
              <w:spacing w:after="0"/>
            </w:pPr>
            <w:r>
              <w:rPr>
                <w:rFonts w:ascii="Consolas" w:hAnsi="Consolas" w:eastAsia="Consolas" w:cs="Consolas"/>
                <w:color w:val="D9E2EC"/>
                <w:sz w:val="17"/>
                <w:szCs w:val="17"/>
              </w:rPr>
              <w:t xml:space="preserve">    { "referencia": "PED-4502", "origen": "Toledo", "destino": "Ciudad Real",</w:t>
            </w:r>
          </w:p>
          <w:p>
            <w:pPr>
              <w:spacing w:after="0"/>
            </w:pPr>
            <w:r>
              <w:rPr>
                <w:rFonts w:ascii="Consolas" w:hAnsi="Consolas" w:eastAsia="Consolas" w:cs="Consolas"/>
                <w:color w:val="D9E2EC"/>
                <w:sz w:val="17"/>
                <w:szCs w:val="17"/>
              </w:rPr>
              <w:t xml:space="preserve">      "lineas": [{ "descripcion": "Bebidas", "cantidad": 8, "unidad": "palets" }] }</w:t>
            </w:r>
          </w:p>
          <w:p>
            <w:pPr>
              <w:spacing w:after="0"/>
            </w:pPr>
            <w:r>
              <w:rPr>
                <w:rFonts w:ascii="Consolas" w:hAnsi="Consolas" w:eastAsia="Consolas" w:cs="Consolas"/>
                <w:color w:val="D9E2EC"/>
                <w:sz w:val="17"/>
                <w:szCs w:val="17"/>
              </w:rPr>
              <w:t xml:space="preserve">  ] }</w:t>
            </w:r>
          </w:p>
        </w:tc>
      </w:tr>
    </w:tbl>
    <w:p>
      <w:pPr>
        <w:spacing w:after="60"/>
      </w:pPr>
      <w:r>
        <w:rPr/>
        <w:t xml:space="preserve"/>
      </w:r>
    </w:p>
    <w:p>
      <w:pPr>
        <w:pStyle w:val="P"/>
      </w:pPr>
      <w:r>
        <w:rPr/>
        <w:t xml:space="preserve">Al actualizar, los campos omitidos se conservan. Si se incluye envios, se reemplaza la colección completa. La API anterior puede seguir modificando fecha, matrículas y estados de un reparto, pero no sustituye sus rutas o mercancías.</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/api_repartos.php?accion=consultar&amp;id=125</w:t>
            </w:r>
          </w:p>
          <w:p>
            <w:pPr>
              <w:spacing w:after="0"/>
            </w:pPr>
            <w:r>
              <w:rPr>
                <w:rFonts w:ascii="Consolas" w:hAnsi="Consolas" w:eastAsia="Consolas" w:cs="Consolas"/>
                <w:color w:val="D9E2EC"/>
                <w:sz w:val="17"/>
                <w:szCs w:val="17"/>
              </w:rPr>
              <w:t xml:space="preserve">GET /api_repartos.php?accion=listar&amp;soloRepartos=1</w:t>
            </w:r>
          </w:p>
        </w:tc>
      </w:tr>
    </w:tbl>
    <w:p>
      <w:pPr>
        <w:spacing w:after="60"/>
      </w:pPr>
      <w:r>
        <w:rPr/>
        <w:t xml:space="preserve"/>
      </w:r>
    </w:p>
    <w:p>
      <w:pPr>
        <w:pStyle w:val="Heading2"/>
      </w:pPr>
      <w:bookmarkStart w:id="24" w:name="_Toc24"/>
      <w:r>
        <w:t>8.10. Errores</w:t>
      </w:r>
      <w:bookmarkEnd w:id="24"/>
    </w:p>
    <w:tbl>
      <w:tblGrid>
        <w:gridCol w:w="1700" w:type="dxa"/>
        <w:gridCol w:w="7500" w:type="dxa"/>
      </w:tblGrid>
      <w:tblPr>
        <w:tblStyle w:val="T"/>
      </w:tblPr>
      <w:tr>
        <w:trPr>
          <w:tblHeader w:val="1"/>
          <w:cantSplit w:val="1"/>
        </w:trPr>
        <w:tc>
          <w:tcPr>
            <w:tcW w:w="1700" w:type="dxa"/>
            <w:shd w:val="clear" w:fill="EEF2F7"/>
            <w:noWrap/>
          </w:tcPr>
          <w:p>
            <w:pPr/>
            <w:r>
              <w:rPr>
                <w:b w:val="1"/>
                <w:bCs w:val="1"/>
              </w:rPr>
              <w:t xml:space="preserve">Código</w:t>
            </w:r>
          </w:p>
        </w:tc>
        <w:tc>
          <w:tcPr>
            <w:tcW w:w="7500" w:type="dxa"/>
            <w:shd w:val="clear" w:fill="EEF2F7"/>
            <w:noWrap/>
          </w:tcPr>
          <w:p>
            <w:pPr/>
            <w:r>
              <w:rPr>
                <w:b w:val="1"/>
                <w:bCs w:val="1"/>
              </w:rPr>
              <w:t xml:space="preserve">Significado</w:t>
            </w:r>
          </w:p>
        </w:tc>
      </w:tr>
      <w:tr>
        <w:trPr/>
        <w:tc>
          <w:tcPr>
            <w:tcW w:w="1700" w:type="dxa"/>
            <w:noWrap/>
          </w:tcPr>
          <w:p>
            <w:pPr/>
            <w:r>
              <w:rPr>
                <w:b w:val="1"/>
                <w:bCs w:val="1"/>
              </w:rPr>
              <w:t xml:space="preserve">201</w:t>
            </w:r>
          </w:p>
        </w:tc>
        <w:tc>
          <w:tcPr>
            <w:tcW w:w="7500" w:type="dxa"/>
            <w:noWrap/>
          </w:tcPr>
          <w:p>
            <w:pPr/>
            <w:r>
              <w:rPr>
                <w:sz w:val="20"/>
                <w:szCs w:val="20"/>
              </w:rPr>
              <w:t xml:space="preserve">Maestro creado correctamente. La respuesta incluye creado=true y el registro completo.</w:t>
            </w:r>
          </w:p>
        </w:tc>
      </w:tr>
      <w:tr>
        <w:trPr/>
        <w:tc>
          <w:tcPr>
            <w:tcW w:w="1700" w:type="dxa"/>
            <w:noWrap/>
          </w:tcPr>
          <w:p>
            <w:pPr/>
            <w:r>
              <w:rPr>
                <w:b w:val="1"/>
                <w:bCs w:val="1"/>
              </w:rPr>
              <w:t xml:space="preserve">400</w:t>
            </w:r>
          </w:p>
        </w:tc>
        <w:tc>
          <w:tcPr>
            <w:tcW w:w="7500" w:type="dxa"/>
            <w:noWrap/>
          </w:tcPr>
          <w:p>
            <w:pPr/>
            <w:r>
              <w:rPr>
                <w:sz w:val="20"/>
                <w:szCs w:val="20"/>
              </w:rPr>
              <w:t xml:space="preserve">Datos incorrectos. El campo "error" de la respuesta indica exactamente qué falta o falla.</w:t>
            </w:r>
          </w:p>
        </w:tc>
      </w:tr>
      <w:tr>
        <w:trPr/>
        <w:tc>
          <w:tcPr>
            <w:tcW w:w="1700" w:type="dxa"/>
            <w:noWrap/>
          </w:tcPr>
          <w:p>
            <w:pPr/>
            <w:r>
              <w:rPr>
                <w:b w:val="1"/>
                <w:bCs w:val="1"/>
              </w:rPr>
              <w:t xml:space="preserve">401</w:t>
            </w:r>
          </w:p>
        </w:tc>
        <w:tc>
          <w:tcPr>
            <w:tcW w:w="7500" w:type="dxa"/>
            <w:noWrap/>
          </w:tcPr>
          <w:p>
            <w:pPr/>
            <w:r>
              <w:rPr>
                <w:sz w:val="20"/>
                <w:szCs w:val="20"/>
              </w:rPr>
              <w:t xml:space="preserve">Clave de API ausente o no válida.</w:t>
            </w:r>
          </w:p>
        </w:tc>
      </w:tr>
      <w:tr>
        <w:trPr/>
        <w:tc>
          <w:tcPr>
            <w:tcW w:w="1700" w:type="dxa"/>
            <w:noWrap/>
          </w:tcPr>
          <w:p>
            <w:pPr/>
            <w:r>
              <w:rPr>
                <w:b w:val="1"/>
                <w:bCs w:val="1"/>
              </w:rPr>
              <w:t xml:space="preserve">403</w:t>
            </w:r>
          </w:p>
        </w:tc>
        <w:tc>
          <w:tcPr>
            <w:tcW w:w="7500" w:type="dxa"/>
            <w:noWrap/>
          </w:tcPr>
          <w:p>
            <w:pPr/>
            <w:r>
              <w:rPr>
                <w:sz w:val="20"/>
                <w:szCs w:val="20"/>
              </w:rPr>
              <w:t xml:space="preserve">Suscripción caducada.</w:t>
            </w:r>
          </w:p>
        </w:tc>
      </w:tr>
      <w:tr>
        <w:trPr/>
        <w:tc>
          <w:tcPr>
            <w:tcW w:w="1700" w:type="dxa"/>
            <w:noWrap/>
          </w:tcPr>
          <w:p>
            <w:pPr/>
            <w:r>
              <w:rPr>
                <w:b w:val="1"/>
                <w:bCs w:val="1"/>
              </w:rPr>
              <w:t xml:space="preserve">404</w:t>
            </w:r>
          </w:p>
        </w:tc>
        <w:tc>
          <w:tcPr>
            <w:tcW w:w="7500" w:type="dxa"/>
            <w:noWrap/>
          </w:tcPr>
          <w:p>
            <w:pPr/>
            <w:r>
              <w:rPr>
                <w:sz w:val="20"/>
                <w:szCs w:val="20"/>
              </w:rPr>
              <w:t xml:space="preserve">DeCA no encontrado (en consultas).</w:t>
            </w:r>
          </w:p>
        </w:tc>
      </w:tr>
      <w:tr>
        <w:trPr/>
        <w:tc>
          <w:tcPr>
            <w:tcW w:w="1700" w:type="dxa"/>
            <w:noWrap/>
          </w:tcPr>
          <w:p>
            <w:pPr/>
            <w:r>
              <w:rPr>
                <w:b w:val="1"/>
                <w:bCs w:val="1"/>
              </w:rPr>
              <w:t xml:space="preserve">409</w:t>
            </w:r>
          </w:p>
        </w:tc>
        <w:tc>
          <w:tcPr>
            <w:tcW w:w="7500" w:type="dxa"/>
            <w:noWrap/>
          </w:tcPr>
          <w:p>
            <w:pPr/>
            <w:r>
              <w:rPr>
                <w:sz w:val="20"/>
                <w:szCs w:val="20"/>
              </w:rPr>
              <w:t xml:space="preserve">Ya existe origenRegistro + idExterno. Busque el registro y use actualizar.</w:t>
            </w:r>
          </w:p>
        </w:tc>
      </w:tr>
      <w:tr>
        <w:trPr/>
        <w:tc>
          <w:tcPr>
            <w:tcW w:w="1700" w:type="dxa"/>
            <w:noWrap/>
          </w:tcPr>
          <w:p>
            <w:pPr/>
            <w:r>
              <w:rPr>
                <w:b w:val="1"/>
                <w:bCs w:val="1"/>
              </w:rPr>
              <w:t xml:space="preserve">422</w:t>
            </w:r>
          </w:p>
        </w:tc>
        <w:tc>
          <w:tcPr>
            <w:tcW w:w="7500" w:type="dxa"/>
            <w:noWrap/>
          </w:tcPr>
          <w:p>
            <w:pPr/>
            <w:r>
              <w:rPr>
                <w:sz w:val="20"/>
                <w:szCs w:val="20"/>
              </w:rPr>
              <w:t xml:space="preserve">La importación masiva contiene filas erróneas. No se ha guardado ninguna.</w:t>
            </w:r>
          </w:p>
        </w:tc>
      </w:tr>
      <w:tr>
        <w:trPr/>
        <w:tc>
          <w:tcPr>
            <w:tcW w:w="1700" w:type="dxa"/>
            <w:noWrap/>
          </w:tcPr>
          <w:p>
            <w:pPr/>
            <w:r>
              <w:rPr>
                <w:b w:val="1"/>
                <w:bCs w:val="1"/>
              </w:rPr>
              <w:t xml:space="preserve">500</w:t>
            </w:r>
          </w:p>
        </w:tc>
        <w:tc>
          <w:tcPr>
            <w:tcW w:w="7500" w:type="dxa"/>
            <w:noWrap/>
          </w:tcPr>
          <w:p>
            <w:pPr/>
            <w:r>
              <w:rPr>
                <w:sz w:val="20"/>
                <w:szCs w:val="20"/>
              </w:rPr>
              <w:t xml:space="preserve">Error temporal al completar la operación. Registre la respuesta y reintente de forma controlada.</w:t>
            </w:r>
          </w:p>
        </w:tc>
      </w:tr>
    </w:tbl>
    <w:p>
      <w:pPr>
        <w:spacing w:after="80"/>
      </w:pPr>
      <w:r>
        <w:rPr/>
        <w:t xml:space="preserve"/>
      </w:r>
    </w:p>
    <w:p>
      <w:pPr>
        <w:pStyle w:val="Nota"/>
      </w:pPr>
      <w:r>
        <w:rPr>
          <w:color w:val="5B6773"/>
          <w:sz w:val="20"/>
          <w:szCs w:val="20"/>
          <w:i w:val="1"/>
          <w:iCs w:val="1"/>
        </w:rPr>
        <w:t xml:space="preserve">ℹ Si su programa de gestión es Factunet, la integración se la dejamos funcionando nosotros: los DeCA se crearán automáticamente desde sus albaranes.</w:t>
      </w:r>
    </w:p>
    <w:p>
      <w:pPr>
        <w:pStyle w:val="Heading1"/>
      </w:pPr>
      <w:bookmarkStart w:id="25" w:name="_Toc25"/>
      <w:r>
        <w:t>9. Preguntas frecuentes</w:t>
      </w:r>
      <w:bookmarkEnd w:id="25"/>
    </w:p>
    <w:p>
      <w:pPr>
        <w:keepNext w:val="1"/>
        <w:spacing w:after="30"/>
      </w:pPr>
      <w:r>
        <w:rPr>
          <w:color w:val="34495E"/>
          <w:b w:val="1"/>
          <w:bCs w:val="1"/>
        </w:rPr>
        <w:t xml:space="preserve">¿La URL del documento caduca?</w:t>
      </w:r>
    </w:p>
    <w:p>
      <w:pPr>
        <w:pStyle w:val="P"/>
      </w:pPr>
      <w:r>
        <w:rPr/>
        <w:t xml:space="preserve">No. Permanece activa durante el plazo de conservación, aunque el viaje esté terminado o anulado.</w:t>
      </w:r>
    </w:p>
    <w:p>
      <w:pPr>
        <w:keepNext w:val="1"/>
        <w:spacing w:after="30"/>
      </w:pPr>
      <w:r>
        <w:rPr>
          <w:color w:val="34495E"/>
          <w:b w:val="1"/>
          <w:bCs w:val="1"/>
        </w:rPr>
        <w:t xml:space="preserve">¿Puedo borrar un viaje?</w:t>
      </w:r>
    </w:p>
    <w:p>
      <w:pPr>
        <w:pStyle w:val="P"/>
      </w:pPr>
      <w:r>
        <w:rPr/>
        <w:t xml:space="preserve">No se borra (la norma exige conservar el histórico): márquelo como Anulado y desaparecerá de las vistas normales.</w:t>
      </w:r>
    </w:p>
    <w:p>
      <w:pPr>
        <w:keepNext w:val="1"/>
        <w:spacing w:after="30"/>
      </w:pPr>
      <w:r>
        <w:rPr>
          <w:color w:val="34495E"/>
          <w:b w:val="1"/>
          <w:bCs w:val="1"/>
        </w:rPr>
        <w:t xml:space="preserve">Modifiqué un viaje ya enviado al conductor, ¿debo reenviárselo?</w:t>
      </w:r>
    </w:p>
    <w:p>
      <w:pPr>
        <w:pStyle w:val="P"/>
      </w:pPr>
      <w:r>
        <w:rPr/>
        <w:t xml:space="preserve">No hace falta: la URL no cambia y siempre entrega la última versión.</w:t>
      </w:r>
    </w:p>
    <w:p>
      <w:pPr>
        <w:keepNext w:val="1"/>
        <w:spacing w:after="30"/>
      </w:pPr>
      <w:r>
        <w:rPr>
          <w:color w:val="34495E"/>
          <w:b w:val="1"/>
          <w:bCs w:val="1"/>
        </w:rPr>
        <w:t xml:space="preserve">¿Puedo consultar una versión anterior?</w:t>
      </w:r>
    </w:p>
    <w:p>
      <w:pPr>
        <w:pStyle w:val="P"/>
      </w:pPr>
      <w:r>
        <w:rPr/>
        <w:t xml:space="preserve">Sí. Abra Historial desde el listado. Allí puede consultar los cambios y descargar cualquiera de los PDF anteriores.</w:t>
      </w:r>
    </w:p>
    <w:p>
      <w:pPr>
        <w:keepNext w:val="1"/>
        <w:spacing w:after="30"/>
      </w:pPr>
      <w:r>
        <w:rPr>
          <w:color w:val="34495E"/>
          <w:b w:val="1"/>
          <w:bCs w:val="1"/>
        </w:rPr>
        <w:t xml:space="preserve">¿Qué ve el agente en un control?</w:t>
      </w:r>
    </w:p>
    <w:p>
      <w:pPr>
        <w:pStyle w:val="P"/>
      </w:pPr>
      <w:r>
        <w:rPr/>
        <w:t xml:space="preserve">El PDF oficial con todos los datos, el QR y el registro de fecha y hora de creación y modificación en hora peninsular.</w:t>
      </w:r>
    </w:p>
    <w:p>
      <w:pPr>
        <w:keepNext w:val="1"/>
        <w:spacing w:after="30"/>
      </w:pPr>
      <w:r>
        <w:rPr>
          <w:color w:val="34495E"/>
          <w:b w:val="1"/>
          <w:bCs w:val="1"/>
        </w:rPr>
        <w:t xml:space="preserve">¿Puedo trabajar desde el móvil?</w:t>
      </w:r>
    </w:p>
    <w:p>
      <w:pPr>
        <w:pStyle w:val="P"/>
      </w:pPr>
      <w:r>
        <w:rPr/>
        <w:t xml:space="preserve">Sí, todo: la vista de tarjetas está pensada para ello.</w:t>
      </w:r>
    </w:p>
    <w:p>
      <w:pPr>
        <w:keepNext w:val="1"/>
        <w:spacing w:after="30"/>
      </w:pPr>
      <w:r>
        <w:rPr>
          <w:color w:val="34495E"/>
          <w:b w:val="1"/>
          <w:bCs w:val="1"/>
        </w:rPr>
        <w:t xml:space="preserve">¿Quién guarda copias de seguridad?</w:t>
      </w:r>
    </w:p>
    <w:p>
      <w:pPr>
        <w:pStyle w:val="P"/>
      </w:pPr>
      <w:r>
        <w:rPr/>
        <w:t xml:space="preserve">Usted dispone de Exportar CSV y Descarga masiva ZIP para hacer sus copias. La conservación legal del documento es responsabilidad de la empresa transportista.</w:t>
      </w:r>
    </w:p>
    <w:p>
      <w:pPr>
        <w:keepNext w:val="1"/>
        <w:spacing w:after="30"/>
      </w:pPr>
      <w:r>
        <w:rPr>
          <w:color w:val="34495E"/>
          <w:b w:val="1"/>
          <w:bCs w:val="1"/>
        </w:rPr>
        <w:t xml:space="preserve">He olvidado mi clave.</w:t>
      </w:r>
    </w:p>
    <w:p>
      <w:pPr>
        <w:pStyle w:val="P"/>
      </w:pPr>
      <w:r>
        <w:rPr/>
        <w:t xml:space="preserve">Pídasela al administrador de su empresa (Usuarios → Clave). Si es el administrador, contacte con soporte.</w:t>
      </w:r>
    </w:p>
    <w:p>
      <w:pPr>
        <w:pStyle w:val="Heading1"/>
      </w:pPr>
      <w:bookmarkStart w:id="26" w:name="_Toc26"/>
      <w:r>
        <w:t>10. Soporte y condiciones</w:t>
      </w:r>
      <w:bookmarkEnd w:id="26"/>
    </w:p>
    <w:p>
      <w:pPr>
        <w:pStyle w:val="P"/>
        <w:numPr>
          <w:ilvl w:val="0"/>
          <w:numId w:val="6"/>
        </w:numPr>
      </w:pPr>
      <w:r>
        <w:rPr/>
        <w:t xml:space="preserve">Soporte técnico y comercial: soporte@decaerp.com</w:t>
      </w:r>
    </w:p>
    <w:p>
      <w:pPr>
        <w:pStyle w:val="P"/>
        <w:numPr>
          <w:ilvl w:val="0"/>
          <w:numId w:val="6"/>
        </w:numPr>
      </w:pPr>
      <w:r>
        <w:rPr/>
        <w:t xml:space="preserve">Aviso legal, política de privacidad y condiciones del servicio: https://decaerp.com/legal.php</w:t>
      </w:r>
    </w:p>
    <w:p>
      <w:pPr>
        <w:pStyle w:val="P"/>
        <w:numPr>
          <w:ilvl w:val="0"/>
          <w:numId w:val="6"/>
        </w:numPr>
      </w:pPr>
      <w:r>
        <w:rPr/>
        <w:t xml:space="preserve">Desarrollado por NETSISTEMAS.COM. Distribuidor: JMJ (jmj.es).</w:t>
      </w:r>
    </w:p>
    <w:sectPr>
      <w:footerReference w:type="default" r:id="rId7"/>
      <w:pgSz w:orient="portrait" w:w="11906" w:h="16838"/>
      <w:pgMar w:top="1200" w:right="1300" w:bottom="1200" w:left="1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B6773"/>
        <w:sz w:val="16"/>
        <w:szCs w:val="16"/>
      </w:rPr>
      <w:t xml:space="preserve">DECA ERP · Manual de uso — Página </w:t>
    </w:r>
    <w:r>
      <w:fldChar w:fldCharType="begin"/>
    </w:r>
    <w:r>
      <w:rPr>
        <w:color w:val="5B6773"/>
        <w:sz w:val="16"/>
        <w:szCs w:val="16"/>
      </w:rPr>
      <w:instrText xml:space="preserve">PAGE</w:instrText>
    </w:r>
    <w:r>
      <w:fldChar w:fldCharType="separate"/>
    </w:r>
    <w:r>
      <w:fldChar w:fldCharType="end"/>
    </w:r>
    <w:r>
      <w:rPr>
        <w:color w:val="5B6773"/>
        <w:sz w:val="16"/>
        <w:szCs w:val="16"/>
      </w:rPr>
      <w:t xml:space="preserve"> de </w:t>
    </w:r>
    <w:r>
      <w:fldChar w:fldCharType="begin"/>
    </w:r>
    <w:r>
      <w:rPr>
        <w:color w:val="5B6773"/>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2177CE1"/>
    <w:multiLevelType w:val="multilevel"/>
    <w:lvl w:ilvl="0">
      <w:start w:val="1"/>
      <w:numFmt w:val="bullet"/>
      <w:suff w:val="tab"/>
      <w:lvlText w:val="•"/>
      <w:pPr>
        <w:tabs>
          <w:tab w:val="num"/>
        </w:tabs>
        <w:ind w:left="360" w:hanging="200"/>
      </w:pPr>
      <w:rPr>
        <w:rFonts/>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s-E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s-E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60" w:after="140"/>
    </w:pPr>
    <w:rPr>
      <w:color w:val="34495E"/>
      <w:sz w:val="34"/>
      <w:szCs w:val="34"/>
      <w:b w:val="1"/>
      <w:bCs w:val="1"/>
    </w:rPr>
  </w:style>
  <w:style w:type="paragraph" w:styleId="Heading2">
    <w:link w:val="Heading2Char"/>
    <w:name w:val="heading 2"/>
    <w:basedOn w:val="Normal"/>
    <w:pPr>
      <w:keepNext w:val="1"/>
      <w:spacing w:before="260" w:after="100"/>
    </w:pPr>
    <w:rPr>
      <w:color w:val="E67E22"/>
      <w:sz w:val="26"/>
      <w:szCs w:val="26"/>
      <w:b w:val="1"/>
      <w:bCs w:val="1"/>
    </w:rPr>
  </w:style>
  <w:style w:type="paragraph" w:customStyle="1" w:styleId="P">
    <w:name w:val="P"/>
    <w:basedOn w:val="Normal"/>
    <w:pPr>
      <w:spacing w:after="110" w:line="268.8" w:lineRule="auto"/>
    </w:pPr>
  </w:style>
  <w:style w:type="paragraph" w:customStyle="1" w:styleId="Nota">
    <w:name w:val="Nota"/>
    <w:basedOn w:val="Normal"/>
    <w:pPr>
      <w:spacing w:after="110" w:line="264" w:lineRule="auto"/>
    </w:pPr>
  </w:style>
  <w:style w:type="character">
    <w:name w:val="NotaF"/>
    <w:rPr>
      <w:color w:val="5B6773"/>
      <w:sz w:val="20"/>
      <w:szCs w:val="20"/>
      <w:i w:val="1"/>
      <w:iCs w:val="1"/>
    </w:rPr>
  </w:style>
  <w:style w:type="table" w:customStyle="1" w:styleId="T">
    <w:name w:val="T"/>
    <w:uiPriority w:val="99"/>
    <w:tblPr>
      <w:tblW w:w="5000" w:type="pct"/>
      <w:tblLayout w:type="autofit"/>
      <w:tblCellMar>
        <w:top w:w="70" w:type="dxa"/>
        <w:left w:w="70" w:type="dxa"/>
        <w:right w:w="70" w:type="dxa"/>
        <w:bottom w:w="70" w:type="dxa"/>
      </w:tblCellMar>
      <w:tblBorders>
        <w:top w:val="single" w:sz="4" w:color="C4CCD4"/>
        <w:left w:val="single" w:sz="4" w:color="C4CCD4"/>
        <w:right w:val="single" w:sz="4" w:color="C4CCD4"/>
        <w:bottom w:val="single" w:sz="4" w:color="C4CCD4"/>
        <w:insideH w:val="single" w:sz="4" w:color="C4CCD4"/>
        <w:insideV w:val="single" w:sz="4" w:color="C4CCD4"/>
      </w:tblBorders>
    </w:tblPr>
    <w:tblStylePr w:type="firstRow">
      <w:tcPr>
        <w:tcPr>
          <w:shd w:val="clear" w:fill="EEF2F7"/>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NETSISTEMAS.COM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DeCAfacil - Manual de uso e integracion ERP</dc:title>
  <dc:description/>
  <dc:subject>Uso de la aplicacion web e integracion mediante API REST</dc:subject>
  <cp:keywords/>
  <cp:category/>
  <cp:lastModifiedBy/>
  <dcterms:created xsi:type="dcterms:W3CDTF">2026-09-09T18:03:51+02:00</dcterms:created>
  <dcterms:modified xsi:type="dcterms:W3CDTF">2026-09-09T18:03:51+02:00</dcterms:modified>
</cp:coreProperties>
</file>

<file path=docProps/custom.xml><?xml version="1.0" encoding="utf-8"?>
<Properties xmlns="http://schemas.openxmlformats.org/officeDocument/2006/custom-properties" xmlns:vt="http://schemas.openxmlformats.org/officeDocument/2006/docPropsVTypes"/>
</file>